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A38" w:rsidRPr="002F42D0" w:rsidRDefault="00B80A38" w:rsidP="007617AF">
      <w:pPr>
        <w:jc w:val="center"/>
        <w:rPr>
          <w:rFonts w:cstheme="minorHAnsi"/>
          <w:b/>
        </w:rPr>
      </w:pPr>
      <w:r>
        <w:rPr>
          <w:rFonts w:cstheme="minorHAnsi"/>
          <w:b/>
        </w:rPr>
        <w:t>T</w:t>
      </w:r>
      <w:r w:rsidRPr="002F42D0">
        <w:rPr>
          <w:rFonts w:cstheme="minorHAnsi"/>
          <w:b/>
        </w:rPr>
        <w:t xml:space="preserve">his paper is </w:t>
      </w:r>
      <w:r>
        <w:rPr>
          <w:rFonts w:cstheme="minorHAnsi"/>
          <w:b/>
        </w:rPr>
        <w:t>for discussion</w:t>
      </w:r>
      <w:r w:rsidRPr="002F42D0">
        <w:rPr>
          <w:rFonts w:cstheme="minorHAnsi"/>
          <w:b/>
        </w:rPr>
        <w:t xml:space="preserve"> and </w:t>
      </w:r>
      <w:r>
        <w:rPr>
          <w:rFonts w:cstheme="minorHAnsi"/>
          <w:b/>
        </w:rPr>
        <w:t>does</w:t>
      </w:r>
      <w:r w:rsidRPr="002F42D0">
        <w:rPr>
          <w:rFonts w:cstheme="minorHAnsi"/>
          <w:b/>
        </w:rPr>
        <w:t xml:space="preserve"> not </w:t>
      </w:r>
      <w:r>
        <w:rPr>
          <w:rFonts w:cstheme="minorHAnsi"/>
          <w:b/>
        </w:rPr>
        <w:t xml:space="preserve">represent </w:t>
      </w:r>
      <w:r w:rsidRPr="002F42D0">
        <w:rPr>
          <w:rFonts w:cstheme="minorHAnsi"/>
          <w:b/>
        </w:rPr>
        <w:t>government policy or policy intent</w:t>
      </w:r>
    </w:p>
    <w:p w:rsidR="00B80A38" w:rsidRDefault="00B80A38" w:rsidP="007617AF">
      <w:pPr>
        <w:pStyle w:val="Heading1"/>
        <w:spacing w:before="0"/>
        <w:jc w:val="center"/>
      </w:pPr>
      <w:r>
        <w:t>OFF</w:t>
      </w:r>
      <w:r w:rsidRPr="008858B3">
        <w:t xml:space="preserve">TAKER OF LAST RESORT ADVISORY </w:t>
      </w:r>
      <w:r>
        <w:t>GROUP</w:t>
      </w:r>
    </w:p>
    <w:p w:rsidR="00B80A38" w:rsidRPr="008858B3" w:rsidRDefault="00B80A38" w:rsidP="007617AF">
      <w:pPr>
        <w:pStyle w:val="Heading1"/>
        <w:spacing w:before="0"/>
        <w:jc w:val="center"/>
      </w:pPr>
      <w:r>
        <w:t>DISCUSSION</w:t>
      </w:r>
      <w:r w:rsidRPr="008858B3">
        <w:t xml:space="preserve"> PAPER </w:t>
      </w:r>
      <w:r w:rsidR="001B2701">
        <w:t>2.02</w:t>
      </w:r>
      <w:bookmarkStart w:id="0" w:name="_GoBack"/>
      <w:bookmarkEnd w:id="0"/>
      <w:r w:rsidRPr="008858B3">
        <w:t xml:space="preserve">: </w:t>
      </w:r>
      <w:r w:rsidR="003B7763">
        <w:t>Eligibility</w:t>
      </w:r>
    </w:p>
    <w:p w:rsidR="00083F25" w:rsidRDefault="00C338E8" w:rsidP="0045159E">
      <w:pPr>
        <w:pStyle w:val="Heading3"/>
        <w:pBdr>
          <w:top w:val="single" w:sz="4" w:space="1" w:color="auto"/>
          <w:left w:val="single" w:sz="4" w:space="4" w:color="auto"/>
          <w:bottom w:val="single" w:sz="4" w:space="1" w:color="auto"/>
          <w:right w:val="single" w:sz="4" w:space="4" w:color="auto"/>
        </w:pBdr>
        <w:spacing w:after="200"/>
      </w:pPr>
      <w:r>
        <w:t xml:space="preserve">Eligibility </w:t>
      </w:r>
      <w:r w:rsidR="00083F25">
        <w:t>Overview</w:t>
      </w:r>
    </w:p>
    <w:p w:rsidR="00083F25" w:rsidRPr="00083D29" w:rsidRDefault="00083D29" w:rsidP="00A666A3">
      <w:pPr>
        <w:pBdr>
          <w:top w:val="single" w:sz="4" w:space="1" w:color="auto"/>
          <w:left w:val="single" w:sz="4" w:space="4" w:color="auto"/>
          <w:bottom w:val="single" w:sz="4" w:space="1" w:color="auto"/>
          <w:right w:val="single" w:sz="4" w:space="4" w:color="auto"/>
        </w:pBdr>
        <w:spacing w:after="0"/>
        <w:rPr>
          <w:b/>
          <w:color w:val="000000" w:themeColor="text1"/>
        </w:rPr>
      </w:pPr>
      <w:r w:rsidRPr="00083D29">
        <w:rPr>
          <w:b/>
          <w:color w:val="000000" w:themeColor="text1"/>
        </w:rPr>
        <w:t>Headlines</w:t>
      </w:r>
      <w:r w:rsidR="00083F25" w:rsidRPr="00083D29">
        <w:rPr>
          <w:b/>
          <w:color w:val="000000" w:themeColor="text1"/>
        </w:rPr>
        <w:t>:</w:t>
      </w:r>
    </w:p>
    <w:p w:rsidR="0081131B" w:rsidRDefault="003D5B04"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sidRPr="003D5B04">
        <w:rPr>
          <w:color w:val="000000" w:themeColor="text1"/>
        </w:rPr>
        <w:t xml:space="preserve">Under the CfD, lenders will be looking for some generators to secure long-term PPAs to remove their imbalance uncertainty.  The OLR is designed to encourage lending to generators without the need for such long-term PPAs, the availability of which will likely be limited.  </w:t>
      </w:r>
    </w:p>
    <w:p w:rsidR="00486309" w:rsidRPr="0081131B" w:rsidRDefault="003D5B04"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sidRPr="0081131B">
        <w:rPr>
          <w:color w:val="000000" w:themeColor="text1"/>
        </w:rPr>
        <w:t>As such, we believe that eligibility for the OLR should be restricted to those technologies where, without the OLR, their imbalance risk would require them to take on lo</w:t>
      </w:r>
      <w:r w:rsidR="0081131B">
        <w:rPr>
          <w:color w:val="000000" w:themeColor="text1"/>
        </w:rPr>
        <w:t xml:space="preserve">ng-term PPAs.  This should provide </w:t>
      </w:r>
      <w:r w:rsidR="007E73B6">
        <w:rPr>
          <w:color w:val="000000" w:themeColor="text1"/>
        </w:rPr>
        <w:t>generators</w:t>
      </w:r>
      <w:r w:rsidR="007E73B6" w:rsidRPr="0081131B">
        <w:rPr>
          <w:color w:val="000000" w:themeColor="text1"/>
        </w:rPr>
        <w:t xml:space="preserve"> </w:t>
      </w:r>
      <w:r w:rsidRPr="0081131B">
        <w:rPr>
          <w:color w:val="000000" w:themeColor="text1"/>
        </w:rPr>
        <w:t>freedom to adopt shorter contracting strategies with a wider range of counterparties</w:t>
      </w:r>
      <w:r w:rsidR="007E73B6">
        <w:rPr>
          <w:color w:val="000000" w:themeColor="text1"/>
        </w:rPr>
        <w:t>, improving their route-to-market options</w:t>
      </w:r>
      <w:r w:rsidRPr="0081131B">
        <w:rPr>
          <w:color w:val="000000" w:themeColor="text1"/>
        </w:rPr>
        <w:t>.</w:t>
      </w:r>
      <w:r w:rsidR="0081131B">
        <w:rPr>
          <w:color w:val="000000" w:themeColor="text1"/>
        </w:rPr>
        <w:t xml:space="preserve">  </w:t>
      </w:r>
      <w:r w:rsidR="0007776B" w:rsidRPr="0081131B">
        <w:rPr>
          <w:color w:val="000000" w:themeColor="text1"/>
        </w:rPr>
        <w:t>Other risks, such as</w:t>
      </w:r>
      <w:r w:rsidR="0081131B">
        <w:rPr>
          <w:color w:val="000000" w:themeColor="text1"/>
        </w:rPr>
        <w:t xml:space="preserve"> the</w:t>
      </w:r>
      <w:r w:rsidR="0007776B" w:rsidRPr="0081131B">
        <w:rPr>
          <w:color w:val="000000" w:themeColor="text1"/>
        </w:rPr>
        <w:t xml:space="preserve"> liquidity of the reference price market, are best dealt with </w:t>
      </w:r>
      <w:r w:rsidR="0081131B">
        <w:rPr>
          <w:color w:val="000000" w:themeColor="text1"/>
        </w:rPr>
        <w:t>through regulation and the CfD</w:t>
      </w:r>
      <w:r w:rsidR="0007776B" w:rsidRPr="0081131B">
        <w:rPr>
          <w:color w:val="000000" w:themeColor="text1"/>
        </w:rPr>
        <w:t>.</w:t>
      </w:r>
    </w:p>
    <w:p w:rsidR="00486309" w:rsidRDefault="00486309"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Pr>
          <w:color w:val="000000" w:themeColor="text1"/>
        </w:rPr>
        <w:t>Nascent technologies</w:t>
      </w:r>
      <w:r w:rsidR="00A01936">
        <w:rPr>
          <w:color w:val="000000" w:themeColor="text1"/>
        </w:rPr>
        <w:t xml:space="preserve"> (e.g. wave and tidal)</w:t>
      </w:r>
      <w:r>
        <w:rPr>
          <w:color w:val="000000" w:themeColor="text1"/>
        </w:rPr>
        <w:t xml:space="preserve"> are unlikely </w:t>
      </w:r>
      <w:r w:rsidR="0076458B">
        <w:rPr>
          <w:color w:val="000000" w:themeColor="text1"/>
        </w:rPr>
        <w:t xml:space="preserve">to </w:t>
      </w:r>
      <w:r>
        <w:rPr>
          <w:color w:val="000000" w:themeColor="text1"/>
        </w:rPr>
        <w:t xml:space="preserve">be developed on low-cost capital and have highly uncertain </w:t>
      </w:r>
      <w:r w:rsidR="0081131B">
        <w:rPr>
          <w:color w:val="000000" w:themeColor="text1"/>
        </w:rPr>
        <w:t>imbalance costs</w:t>
      </w:r>
      <w:r>
        <w:rPr>
          <w:color w:val="000000" w:themeColor="text1"/>
        </w:rPr>
        <w:t xml:space="preserve">.  As such, we </w:t>
      </w:r>
      <w:r w:rsidR="00996077">
        <w:rPr>
          <w:color w:val="000000" w:themeColor="text1"/>
        </w:rPr>
        <w:t xml:space="preserve">believe it is not appropriate </w:t>
      </w:r>
      <w:r>
        <w:rPr>
          <w:color w:val="000000" w:themeColor="text1"/>
        </w:rPr>
        <w:t>to include technologies without a commercial track record until such time as the extent of their route-to-market risks can be measured.</w:t>
      </w:r>
    </w:p>
    <w:p w:rsidR="00083F25" w:rsidRPr="00083D29" w:rsidRDefault="00A52AE8"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Pr>
          <w:color w:val="000000" w:themeColor="text1"/>
        </w:rPr>
        <w:t xml:space="preserve">The above criteria would restrict eligibility to the OLR to </w:t>
      </w:r>
      <w:r w:rsidR="00B244CA">
        <w:rPr>
          <w:color w:val="000000" w:themeColor="text1"/>
        </w:rPr>
        <w:t>w</w:t>
      </w:r>
      <w:r w:rsidR="00083F25" w:rsidRPr="00083D29">
        <w:rPr>
          <w:color w:val="000000" w:themeColor="text1"/>
        </w:rPr>
        <w:t>ind</w:t>
      </w:r>
      <w:r w:rsidR="00B244CA">
        <w:rPr>
          <w:color w:val="000000" w:themeColor="text1"/>
        </w:rPr>
        <w:t xml:space="preserve"> generators</w:t>
      </w:r>
      <w:r w:rsidR="00996077">
        <w:rPr>
          <w:color w:val="000000" w:themeColor="text1"/>
        </w:rPr>
        <w:t>.</w:t>
      </w:r>
    </w:p>
    <w:p w:rsidR="00083F25" w:rsidRPr="0081131B" w:rsidRDefault="00083F25"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sidRPr="00083D29">
        <w:rPr>
          <w:color w:val="000000" w:themeColor="text1"/>
        </w:rPr>
        <w:t>We are concerned about risks arising</w:t>
      </w:r>
      <w:r w:rsidR="00C338E8">
        <w:rPr>
          <w:color w:val="000000" w:themeColor="text1"/>
        </w:rPr>
        <w:t xml:space="preserve"> from </w:t>
      </w:r>
      <w:r w:rsidR="00996077">
        <w:rPr>
          <w:color w:val="000000" w:themeColor="text1"/>
        </w:rPr>
        <w:t>allowing very large projects to access the OLR, in particular the</w:t>
      </w:r>
      <w:r w:rsidR="00132FCA">
        <w:rPr>
          <w:color w:val="000000" w:themeColor="text1"/>
        </w:rPr>
        <w:t xml:space="preserve"> possible</w:t>
      </w:r>
      <w:r w:rsidR="00996077">
        <w:rPr>
          <w:color w:val="000000" w:themeColor="text1"/>
        </w:rPr>
        <w:t xml:space="preserve"> impact</w:t>
      </w:r>
      <w:r w:rsidR="00132FCA">
        <w:rPr>
          <w:color w:val="000000" w:themeColor="text1"/>
        </w:rPr>
        <w:t>s</w:t>
      </w:r>
      <w:r w:rsidR="00996077">
        <w:rPr>
          <w:color w:val="000000" w:themeColor="text1"/>
        </w:rPr>
        <w:t xml:space="preserve"> on individual off</w:t>
      </w:r>
      <w:r w:rsidR="00CC5367">
        <w:rPr>
          <w:color w:val="000000" w:themeColor="text1"/>
        </w:rPr>
        <w:t>t</w:t>
      </w:r>
      <w:r w:rsidR="00996077">
        <w:rPr>
          <w:color w:val="000000" w:themeColor="text1"/>
        </w:rPr>
        <w:t>akers</w:t>
      </w:r>
      <w:r w:rsidR="002F51B6" w:rsidRPr="00083D29">
        <w:rPr>
          <w:color w:val="000000" w:themeColor="text1"/>
        </w:rPr>
        <w:t>.  For this reason, we are considering a size threshold</w:t>
      </w:r>
      <w:r w:rsidR="00996077">
        <w:rPr>
          <w:color w:val="000000" w:themeColor="text1"/>
        </w:rPr>
        <w:t>, with p</w:t>
      </w:r>
      <w:r w:rsidR="00C338E8">
        <w:rPr>
          <w:color w:val="000000" w:themeColor="text1"/>
        </w:rPr>
        <w:t xml:space="preserve">rojects above this threshold </w:t>
      </w:r>
      <w:r w:rsidR="00996077">
        <w:rPr>
          <w:color w:val="000000" w:themeColor="text1"/>
        </w:rPr>
        <w:t>not being</w:t>
      </w:r>
      <w:r w:rsidR="00C338E8">
        <w:rPr>
          <w:color w:val="000000" w:themeColor="text1"/>
        </w:rPr>
        <w:t xml:space="preserve"> </w:t>
      </w:r>
      <w:r w:rsidR="002F51B6" w:rsidRPr="00083D29">
        <w:rPr>
          <w:color w:val="000000" w:themeColor="text1"/>
        </w:rPr>
        <w:t>eligibl</w:t>
      </w:r>
      <w:r w:rsidR="00C338E8">
        <w:rPr>
          <w:color w:val="000000" w:themeColor="text1"/>
        </w:rPr>
        <w:t>e</w:t>
      </w:r>
      <w:r w:rsidR="002F51B6" w:rsidRPr="00083D29">
        <w:rPr>
          <w:color w:val="000000" w:themeColor="text1"/>
        </w:rPr>
        <w:t xml:space="preserve">.  </w:t>
      </w:r>
      <w:r w:rsidR="00C338E8" w:rsidRPr="0081131B">
        <w:rPr>
          <w:color w:val="000000" w:themeColor="text1"/>
        </w:rPr>
        <w:t>A</w:t>
      </w:r>
      <w:r w:rsidR="002F51B6" w:rsidRPr="0081131B">
        <w:rPr>
          <w:color w:val="000000" w:themeColor="text1"/>
        </w:rPr>
        <w:t xml:space="preserve">n </w:t>
      </w:r>
      <w:r w:rsidR="00C338E8" w:rsidRPr="0081131B">
        <w:rPr>
          <w:color w:val="000000" w:themeColor="text1"/>
        </w:rPr>
        <w:t>alternative</w:t>
      </w:r>
      <w:r w:rsidR="002F51B6" w:rsidRPr="0081131B">
        <w:rPr>
          <w:color w:val="000000" w:themeColor="text1"/>
        </w:rPr>
        <w:t xml:space="preserve"> solution </w:t>
      </w:r>
      <w:r w:rsidR="00C338E8" w:rsidRPr="0081131B">
        <w:rPr>
          <w:color w:val="000000" w:themeColor="text1"/>
        </w:rPr>
        <w:t xml:space="preserve">could involve the output </w:t>
      </w:r>
      <w:r w:rsidR="00A52AE8" w:rsidRPr="0081131B">
        <w:rPr>
          <w:color w:val="000000" w:themeColor="text1"/>
        </w:rPr>
        <w:t>from</w:t>
      </w:r>
      <w:r w:rsidR="00C338E8" w:rsidRPr="0081131B">
        <w:rPr>
          <w:color w:val="000000" w:themeColor="text1"/>
        </w:rPr>
        <w:t xml:space="preserve"> larger generators being split </w:t>
      </w:r>
      <w:r w:rsidR="002F51B6" w:rsidRPr="0081131B">
        <w:rPr>
          <w:color w:val="000000" w:themeColor="text1"/>
        </w:rPr>
        <w:t>between multiple Backstop Offtakers</w:t>
      </w:r>
      <w:r w:rsidR="00C338E8" w:rsidRPr="0081131B">
        <w:rPr>
          <w:color w:val="000000" w:themeColor="text1"/>
        </w:rPr>
        <w:t>.  We are seeking views on the feasibility of such an approach.</w:t>
      </w:r>
    </w:p>
    <w:p w:rsidR="002F51B6" w:rsidRPr="00083D29" w:rsidRDefault="002F51B6"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sidRPr="00083D29">
        <w:rPr>
          <w:color w:val="000000" w:themeColor="text1"/>
        </w:rPr>
        <w:t xml:space="preserve">Given that projects have applied for Investment Contracts under </w:t>
      </w:r>
      <w:proofErr w:type="spellStart"/>
      <w:r w:rsidRPr="00083D29">
        <w:rPr>
          <w:color w:val="000000" w:themeColor="text1"/>
        </w:rPr>
        <w:t>FIDeR</w:t>
      </w:r>
      <w:proofErr w:type="spellEnd"/>
      <w:r w:rsidRPr="00083D29">
        <w:rPr>
          <w:color w:val="000000" w:themeColor="text1"/>
        </w:rPr>
        <w:t xml:space="preserve"> </w:t>
      </w:r>
      <w:r w:rsidR="00C338E8">
        <w:rPr>
          <w:color w:val="000000" w:themeColor="text1"/>
        </w:rPr>
        <w:t xml:space="preserve">before the </w:t>
      </w:r>
      <w:r w:rsidR="00996077">
        <w:rPr>
          <w:color w:val="000000" w:themeColor="text1"/>
        </w:rPr>
        <w:t xml:space="preserve">existence or terms of an </w:t>
      </w:r>
      <w:r w:rsidR="00C338E8">
        <w:rPr>
          <w:color w:val="000000" w:themeColor="text1"/>
        </w:rPr>
        <w:t xml:space="preserve">OLR </w:t>
      </w:r>
      <w:r w:rsidR="00996077">
        <w:rPr>
          <w:color w:val="000000" w:themeColor="text1"/>
        </w:rPr>
        <w:t xml:space="preserve">mechanism </w:t>
      </w:r>
      <w:r w:rsidR="00C338E8">
        <w:rPr>
          <w:color w:val="000000" w:themeColor="text1"/>
        </w:rPr>
        <w:t xml:space="preserve">have been </w:t>
      </w:r>
      <w:r w:rsidR="00996077">
        <w:rPr>
          <w:color w:val="000000" w:themeColor="text1"/>
        </w:rPr>
        <w:t>confirmed</w:t>
      </w:r>
      <w:r w:rsidRPr="00083D29">
        <w:rPr>
          <w:color w:val="000000" w:themeColor="text1"/>
        </w:rPr>
        <w:t xml:space="preserve">, we do not think that </w:t>
      </w:r>
      <w:r w:rsidR="00996077">
        <w:rPr>
          <w:color w:val="000000" w:themeColor="text1"/>
        </w:rPr>
        <w:t xml:space="preserve">it would be justified to offer </w:t>
      </w:r>
      <w:r w:rsidRPr="00083D29">
        <w:rPr>
          <w:color w:val="000000" w:themeColor="text1"/>
        </w:rPr>
        <w:t xml:space="preserve">OLR </w:t>
      </w:r>
      <w:r w:rsidR="00996077">
        <w:rPr>
          <w:color w:val="000000" w:themeColor="text1"/>
        </w:rPr>
        <w:t xml:space="preserve">protection to </w:t>
      </w:r>
      <w:r w:rsidRPr="00083D29">
        <w:rPr>
          <w:color w:val="000000" w:themeColor="text1"/>
        </w:rPr>
        <w:t>these project</w:t>
      </w:r>
      <w:r w:rsidR="00996077">
        <w:rPr>
          <w:color w:val="000000" w:themeColor="text1"/>
        </w:rPr>
        <w:t>s</w:t>
      </w:r>
      <w:r w:rsidRPr="00083D29">
        <w:rPr>
          <w:color w:val="000000" w:themeColor="text1"/>
        </w:rPr>
        <w:t xml:space="preserve">. </w:t>
      </w:r>
    </w:p>
    <w:p w:rsidR="002F51B6" w:rsidRPr="00BB1ECD" w:rsidRDefault="002F51B6" w:rsidP="009920CE">
      <w:pPr>
        <w:pBdr>
          <w:top w:val="single" w:sz="4" w:space="1" w:color="auto"/>
          <w:left w:val="single" w:sz="4" w:space="4" w:color="auto"/>
          <w:bottom w:val="single" w:sz="4" w:space="1" w:color="auto"/>
          <w:right w:val="single" w:sz="4" w:space="4" w:color="auto"/>
        </w:pBdr>
        <w:spacing w:after="0"/>
        <w:ind w:left="567" w:hanging="567"/>
        <w:rPr>
          <w:b/>
          <w:color w:val="000000" w:themeColor="text1"/>
        </w:rPr>
      </w:pPr>
      <w:r w:rsidRPr="00BB1ECD">
        <w:rPr>
          <w:b/>
          <w:color w:val="000000" w:themeColor="text1"/>
        </w:rPr>
        <w:t>Key Questions:</w:t>
      </w:r>
    </w:p>
    <w:p w:rsidR="00ED3FBB" w:rsidRDefault="0081131B"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sidRPr="00ED3FBB">
        <w:rPr>
          <w:color w:val="000000" w:themeColor="text1"/>
        </w:rPr>
        <w:t xml:space="preserve">Do you agree that eligibility for the OLR should be restricted to those technologies where, without the OLR, their imbalance risk would require them to take on long-term PPAs?  </w:t>
      </w:r>
    </w:p>
    <w:p w:rsidR="00A52AE8" w:rsidRPr="00ED3FBB" w:rsidRDefault="00A52AE8"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sidRPr="00ED3FBB">
        <w:rPr>
          <w:color w:val="000000" w:themeColor="text1"/>
        </w:rPr>
        <w:t>Do you agree with excluding nascent technologies from the OLR</w:t>
      </w:r>
      <w:r w:rsidR="00A01936" w:rsidRPr="00ED3FBB">
        <w:rPr>
          <w:color w:val="000000" w:themeColor="text1"/>
        </w:rPr>
        <w:t xml:space="preserve"> at the outset</w:t>
      </w:r>
      <w:r w:rsidRPr="00ED3FBB">
        <w:rPr>
          <w:color w:val="000000" w:themeColor="text1"/>
        </w:rPr>
        <w:t>?</w:t>
      </w:r>
    </w:p>
    <w:p w:rsidR="00A52AE8" w:rsidRDefault="00A52AE8"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Pr>
          <w:color w:val="000000" w:themeColor="text1"/>
        </w:rPr>
        <w:t>D</w:t>
      </w:r>
      <w:r w:rsidRPr="00A52AE8">
        <w:rPr>
          <w:color w:val="000000" w:themeColor="text1"/>
        </w:rPr>
        <w:t xml:space="preserve">o you agree that the inclusion of large projects in the scheme could pose issues in terms of (a) </w:t>
      </w:r>
      <w:r w:rsidR="00A01936">
        <w:rPr>
          <w:color w:val="000000" w:themeColor="text1"/>
        </w:rPr>
        <w:t xml:space="preserve">having a disproportionate impact on individual backstop offtakers, </w:t>
      </w:r>
      <w:r w:rsidRPr="00A52AE8">
        <w:rPr>
          <w:color w:val="000000" w:themeColor="text1"/>
        </w:rPr>
        <w:t xml:space="preserve">and (b) </w:t>
      </w:r>
      <w:r w:rsidR="00A01936">
        <w:rPr>
          <w:color w:val="000000" w:themeColor="text1"/>
        </w:rPr>
        <w:t>restricting</w:t>
      </w:r>
      <w:r w:rsidRPr="00A52AE8">
        <w:rPr>
          <w:color w:val="000000" w:themeColor="text1"/>
        </w:rPr>
        <w:t xml:space="preserve"> competition for backstop PPAs</w:t>
      </w:r>
      <w:r w:rsidR="00A01936">
        <w:rPr>
          <w:color w:val="000000" w:themeColor="text1"/>
        </w:rPr>
        <w:t xml:space="preserve"> (under competitive allocation)</w:t>
      </w:r>
      <w:r>
        <w:rPr>
          <w:color w:val="000000" w:themeColor="text1"/>
        </w:rPr>
        <w:t>?</w:t>
      </w:r>
    </w:p>
    <w:p w:rsidR="0045159E" w:rsidRPr="00A52AE8" w:rsidRDefault="00A52AE8"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sidRPr="00A52AE8">
        <w:rPr>
          <w:color w:val="000000" w:themeColor="text1"/>
        </w:rPr>
        <w:t xml:space="preserve">Would it be feasible to split the output of large plants to solve the issues with </w:t>
      </w:r>
      <w:r w:rsidR="00A01936">
        <w:rPr>
          <w:color w:val="000000" w:themeColor="text1"/>
        </w:rPr>
        <w:t xml:space="preserve">such </w:t>
      </w:r>
      <w:r w:rsidRPr="00A52AE8">
        <w:rPr>
          <w:color w:val="000000" w:themeColor="text1"/>
        </w:rPr>
        <w:t>project</w:t>
      </w:r>
      <w:r w:rsidR="00A01936">
        <w:rPr>
          <w:color w:val="000000" w:themeColor="text1"/>
        </w:rPr>
        <w:t>s</w:t>
      </w:r>
      <w:r w:rsidRPr="00A52AE8">
        <w:rPr>
          <w:color w:val="000000" w:themeColor="text1"/>
        </w:rPr>
        <w:t xml:space="preserve"> entering the scheme?</w:t>
      </w:r>
      <w:r w:rsidR="0045159E" w:rsidRPr="00A52AE8">
        <w:rPr>
          <w:color w:val="000000" w:themeColor="text1"/>
        </w:rPr>
        <w:t xml:space="preserve">  </w:t>
      </w:r>
      <w:r>
        <w:rPr>
          <w:color w:val="000000" w:themeColor="text1"/>
        </w:rPr>
        <w:t>Can you provide examples of a project’s</w:t>
      </w:r>
      <w:r w:rsidRPr="00A52AE8">
        <w:rPr>
          <w:color w:val="000000" w:themeColor="text1"/>
        </w:rPr>
        <w:t xml:space="preserve"> outp</w:t>
      </w:r>
      <w:r>
        <w:rPr>
          <w:color w:val="000000" w:themeColor="text1"/>
        </w:rPr>
        <w:t>u</w:t>
      </w:r>
      <w:r w:rsidRPr="00A52AE8">
        <w:rPr>
          <w:color w:val="000000" w:themeColor="text1"/>
        </w:rPr>
        <w:t>t being split between two unaffiliated offtakers (where forecasting and trading a</w:t>
      </w:r>
      <w:r>
        <w:rPr>
          <w:color w:val="000000" w:themeColor="text1"/>
        </w:rPr>
        <w:t>r</w:t>
      </w:r>
      <w:r w:rsidRPr="00A52AE8">
        <w:rPr>
          <w:color w:val="000000" w:themeColor="text1"/>
        </w:rPr>
        <w:t>e done independently) – for example offshore UJV structures?</w:t>
      </w:r>
    </w:p>
    <w:p w:rsidR="0045159E" w:rsidRPr="00083D29" w:rsidRDefault="0045159E" w:rsidP="002E7615">
      <w:pPr>
        <w:pStyle w:val="ListParagraph"/>
        <w:numPr>
          <w:ilvl w:val="1"/>
          <w:numId w:val="1"/>
        </w:numPr>
        <w:pBdr>
          <w:top w:val="single" w:sz="4" w:space="1" w:color="auto"/>
          <w:left w:val="single" w:sz="4" w:space="4" w:color="auto"/>
          <w:bottom w:val="single" w:sz="4" w:space="1" w:color="auto"/>
          <w:right w:val="single" w:sz="4" w:space="4" w:color="auto"/>
        </w:pBdr>
        <w:spacing w:after="160"/>
        <w:ind w:left="567" w:hanging="567"/>
        <w:contextualSpacing w:val="0"/>
        <w:rPr>
          <w:color w:val="000000" w:themeColor="text1"/>
        </w:rPr>
      </w:pPr>
      <w:r w:rsidRPr="00083D29">
        <w:rPr>
          <w:color w:val="000000" w:themeColor="text1"/>
        </w:rPr>
        <w:t xml:space="preserve">Do you agree that </w:t>
      </w:r>
      <w:r w:rsidR="00C338E8">
        <w:rPr>
          <w:color w:val="000000" w:themeColor="text1"/>
        </w:rPr>
        <w:t xml:space="preserve">projects </w:t>
      </w:r>
      <w:r w:rsidR="00A01936">
        <w:rPr>
          <w:color w:val="000000" w:themeColor="text1"/>
        </w:rPr>
        <w:t xml:space="preserve">supported by investment contracts should </w:t>
      </w:r>
      <w:r w:rsidR="00C338E8">
        <w:rPr>
          <w:color w:val="000000" w:themeColor="text1"/>
        </w:rPr>
        <w:t xml:space="preserve">not </w:t>
      </w:r>
      <w:r w:rsidR="00A01936">
        <w:rPr>
          <w:color w:val="000000" w:themeColor="text1"/>
        </w:rPr>
        <w:t>be eligible</w:t>
      </w:r>
      <w:r w:rsidRPr="00083D29">
        <w:rPr>
          <w:color w:val="000000" w:themeColor="text1"/>
        </w:rPr>
        <w:t>?</w:t>
      </w:r>
    </w:p>
    <w:p w:rsidR="0045159E" w:rsidRDefault="0045159E">
      <w:pPr>
        <w:rPr>
          <w:rFonts w:asciiTheme="majorHAnsi" w:eastAsiaTheme="majorEastAsia" w:hAnsiTheme="majorHAnsi" w:cstheme="majorBidi"/>
          <w:b/>
          <w:bCs/>
          <w:color w:val="4F81BD" w:themeColor="accent1"/>
        </w:rPr>
      </w:pPr>
    </w:p>
    <w:p w:rsidR="00B80A38" w:rsidRDefault="00083F25" w:rsidP="004A0192">
      <w:pPr>
        <w:pStyle w:val="Heading3"/>
        <w:numPr>
          <w:ilvl w:val="0"/>
          <w:numId w:val="14"/>
        </w:numPr>
        <w:spacing w:after="200"/>
      </w:pPr>
      <w:r>
        <w:t>Introduction</w:t>
      </w:r>
    </w:p>
    <w:p w:rsidR="00A51DE5" w:rsidRPr="00A52AE8" w:rsidRDefault="00D42F42" w:rsidP="004A0192">
      <w:pPr>
        <w:pStyle w:val="ListParagraph"/>
        <w:numPr>
          <w:ilvl w:val="1"/>
          <w:numId w:val="14"/>
        </w:numPr>
        <w:spacing w:after="120"/>
        <w:ind w:left="567" w:hanging="567"/>
        <w:contextualSpacing w:val="0"/>
        <w:rPr>
          <w:color w:val="000000" w:themeColor="text1"/>
        </w:rPr>
      </w:pPr>
      <w:r>
        <w:rPr>
          <w:color w:val="000000" w:themeColor="text1"/>
        </w:rPr>
        <w:t xml:space="preserve">DECC’s Call </w:t>
      </w:r>
      <w:r w:rsidR="00A51DE5" w:rsidRPr="00A52AE8">
        <w:rPr>
          <w:color w:val="000000" w:themeColor="text1"/>
        </w:rPr>
        <w:t>for</w:t>
      </w:r>
      <w:r>
        <w:rPr>
          <w:color w:val="000000" w:themeColor="text1"/>
        </w:rPr>
        <w:t xml:space="preserve"> </w:t>
      </w:r>
      <w:r w:rsidR="00A51DE5" w:rsidRPr="00A52AE8">
        <w:rPr>
          <w:color w:val="000000" w:themeColor="text1"/>
        </w:rPr>
        <w:t>Evidence</w:t>
      </w:r>
      <w:r>
        <w:rPr>
          <w:color w:val="000000" w:themeColor="text1"/>
        </w:rPr>
        <w:t xml:space="preserve"> in July 2012 and the subsequent analysis identified</w:t>
      </w:r>
      <w:r w:rsidR="00A51DE5" w:rsidRPr="00A52AE8">
        <w:rPr>
          <w:color w:val="000000" w:themeColor="text1"/>
        </w:rPr>
        <w:t xml:space="preserve"> concern</w:t>
      </w:r>
      <w:r>
        <w:rPr>
          <w:color w:val="000000" w:themeColor="text1"/>
        </w:rPr>
        <w:t xml:space="preserve">s amongst independent renewable generators about </w:t>
      </w:r>
      <w:r w:rsidR="00ED3FBB">
        <w:rPr>
          <w:color w:val="000000" w:themeColor="text1"/>
        </w:rPr>
        <w:t xml:space="preserve">the </w:t>
      </w:r>
      <w:r>
        <w:rPr>
          <w:color w:val="000000" w:themeColor="text1"/>
        </w:rPr>
        <w:t xml:space="preserve">availability of </w:t>
      </w:r>
      <w:r w:rsidR="00A51DE5" w:rsidRPr="00A52AE8">
        <w:rPr>
          <w:color w:val="000000" w:themeColor="text1"/>
        </w:rPr>
        <w:t>route</w:t>
      </w:r>
      <w:r>
        <w:rPr>
          <w:color w:val="000000" w:themeColor="text1"/>
        </w:rPr>
        <w:t>s</w:t>
      </w:r>
      <w:r w:rsidR="00A51DE5" w:rsidRPr="00A52AE8">
        <w:rPr>
          <w:color w:val="000000" w:themeColor="text1"/>
        </w:rPr>
        <w:t xml:space="preserve">-to-market </w:t>
      </w:r>
      <w:r>
        <w:rPr>
          <w:color w:val="000000" w:themeColor="text1"/>
        </w:rPr>
        <w:t xml:space="preserve">under CfDs, in particular because </w:t>
      </w:r>
      <w:r w:rsidR="00860238">
        <w:rPr>
          <w:color w:val="000000" w:themeColor="text1"/>
        </w:rPr>
        <w:t>lenders</w:t>
      </w:r>
      <w:r w:rsidR="00A51DE5" w:rsidRPr="00A52AE8">
        <w:rPr>
          <w:color w:val="000000" w:themeColor="text1"/>
        </w:rPr>
        <w:t xml:space="preserve"> will not accept merchant route-to-market risk. </w:t>
      </w:r>
      <w:r w:rsidDel="00F97304">
        <w:rPr>
          <w:color w:val="000000" w:themeColor="text1"/>
        </w:rPr>
        <w:t>The majority of responses came from onshore wind developers.</w:t>
      </w:r>
      <w:r w:rsidR="00A51DE5" w:rsidRPr="00A52AE8" w:rsidDel="00F97304">
        <w:rPr>
          <w:color w:val="000000" w:themeColor="text1"/>
        </w:rPr>
        <w:t xml:space="preserve"> </w:t>
      </w:r>
    </w:p>
    <w:p w:rsidR="00A51DE5" w:rsidRPr="00A52AE8" w:rsidRDefault="00A51DE5" w:rsidP="00CD6ABA">
      <w:pPr>
        <w:pStyle w:val="ListParagraph"/>
        <w:numPr>
          <w:ilvl w:val="1"/>
          <w:numId w:val="14"/>
        </w:numPr>
        <w:spacing w:after="120"/>
        <w:ind w:left="567" w:hanging="567"/>
        <w:contextualSpacing w:val="0"/>
        <w:rPr>
          <w:color w:val="000000" w:themeColor="text1"/>
        </w:rPr>
      </w:pPr>
      <w:r w:rsidRPr="00A52AE8">
        <w:rPr>
          <w:color w:val="000000" w:themeColor="text1"/>
        </w:rPr>
        <w:t>Long-term PPAs with creditworthy counterparties</w:t>
      </w:r>
      <w:r w:rsidR="00693D70">
        <w:rPr>
          <w:color w:val="000000" w:themeColor="text1"/>
        </w:rPr>
        <w:t xml:space="preserve"> that remove or cap imbalance and route to market risk from generators (at a cost)</w:t>
      </w:r>
      <w:r w:rsidRPr="00A52AE8">
        <w:rPr>
          <w:color w:val="000000" w:themeColor="text1"/>
        </w:rPr>
        <w:t xml:space="preserve"> would pro</w:t>
      </w:r>
      <w:r w:rsidR="00CD6ABA" w:rsidRPr="00A52AE8">
        <w:rPr>
          <w:color w:val="000000" w:themeColor="text1"/>
        </w:rPr>
        <w:t xml:space="preserve">ve acceptable to </w:t>
      </w:r>
      <w:r w:rsidR="00860238">
        <w:rPr>
          <w:color w:val="000000" w:themeColor="text1"/>
        </w:rPr>
        <w:t>lenders</w:t>
      </w:r>
      <w:r w:rsidR="00CD6ABA" w:rsidRPr="00A52AE8">
        <w:rPr>
          <w:color w:val="000000" w:themeColor="text1"/>
        </w:rPr>
        <w:t>.  However</w:t>
      </w:r>
      <w:r w:rsidR="00D42F42">
        <w:rPr>
          <w:color w:val="000000" w:themeColor="text1"/>
        </w:rPr>
        <w:t>,</w:t>
      </w:r>
      <w:r w:rsidR="00CD6ABA" w:rsidRPr="00A52AE8">
        <w:rPr>
          <w:color w:val="000000" w:themeColor="text1"/>
        </w:rPr>
        <w:t xml:space="preserve"> there </w:t>
      </w:r>
      <w:r w:rsidR="005B1B4F">
        <w:rPr>
          <w:color w:val="000000" w:themeColor="text1"/>
        </w:rPr>
        <w:t>is a limited pool of offtakers that are considered</w:t>
      </w:r>
      <w:r w:rsidR="00D42F42">
        <w:rPr>
          <w:color w:val="000000" w:themeColor="text1"/>
        </w:rPr>
        <w:t xml:space="preserve"> </w:t>
      </w:r>
      <w:r w:rsidR="005B1B4F">
        <w:rPr>
          <w:color w:val="000000" w:themeColor="text1"/>
        </w:rPr>
        <w:t>“</w:t>
      </w:r>
      <w:r w:rsidR="00860238">
        <w:rPr>
          <w:color w:val="000000" w:themeColor="text1"/>
        </w:rPr>
        <w:t>bankable</w:t>
      </w:r>
      <w:r w:rsidR="005B1B4F">
        <w:rPr>
          <w:color w:val="000000" w:themeColor="text1"/>
        </w:rPr>
        <w:t>”</w:t>
      </w:r>
      <w:r w:rsidR="00CD6ABA" w:rsidRPr="00A52AE8">
        <w:rPr>
          <w:color w:val="000000" w:themeColor="text1"/>
        </w:rPr>
        <w:t xml:space="preserve">, </w:t>
      </w:r>
      <w:r w:rsidR="00860238">
        <w:rPr>
          <w:color w:val="000000" w:themeColor="text1"/>
        </w:rPr>
        <w:t>leading to</w:t>
      </w:r>
      <w:r w:rsidR="00CD6ABA" w:rsidRPr="00A52AE8">
        <w:rPr>
          <w:color w:val="000000" w:themeColor="text1"/>
        </w:rPr>
        <w:t xml:space="preserve"> concern</w:t>
      </w:r>
      <w:r w:rsidR="00860238">
        <w:rPr>
          <w:color w:val="000000" w:themeColor="text1"/>
        </w:rPr>
        <w:t>s</w:t>
      </w:r>
      <w:r w:rsidR="00CD6ABA" w:rsidRPr="00A52AE8">
        <w:rPr>
          <w:color w:val="000000" w:themeColor="text1"/>
        </w:rPr>
        <w:t xml:space="preserve"> </w:t>
      </w:r>
      <w:r w:rsidR="00860238">
        <w:rPr>
          <w:color w:val="000000" w:themeColor="text1"/>
        </w:rPr>
        <w:t>as to the likely levels of liquidity and</w:t>
      </w:r>
      <w:r w:rsidR="00D42F42">
        <w:rPr>
          <w:color w:val="000000" w:themeColor="text1"/>
        </w:rPr>
        <w:t xml:space="preserve"> competition</w:t>
      </w:r>
      <w:r w:rsidR="00860238">
        <w:rPr>
          <w:color w:val="000000" w:themeColor="text1"/>
        </w:rPr>
        <w:t xml:space="preserve"> in the long term PPA market</w:t>
      </w:r>
      <w:r w:rsidR="00CD6ABA" w:rsidRPr="00A52AE8">
        <w:rPr>
          <w:color w:val="000000" w:themeColor="text1"/>
        </w:rPr>
        <w:t xml:space="preserve">.  </w:t>
      </w:r>
    </w:p>
    <w:p w:rsidR="00F918A1" w:rsidRPr="007B1FD8" w:rsidRDefault="00EC372A" w:rsidP="007B1FD8">
      <w:pPr>
        <w:pStyle w:val="ListParagraph"/>
        <w:numPr>
          <w:ilvl w:val="1"/>
          <w:numId w:val="14"/>
        </w:numPr>
        <w:spacing w:after="120"/>
        <w:ind w:left="567" w:hanging="567"/>
        <w:contextualSpacing w:val="0"/>
        <w:rPr>
          <w:color w:val="FF0000"/>
        </w:rPr>
      </w:pPr>
      <w:r>
        <w:t xml:space="preserve">The </w:t>
      </w:r>
      <w:r w:rsidR="0053153D">
        <w:t xml:space="preserve">OLR </w:t>
      </w:r>
      <w:r>
        <w:t xml:space="preserve">is intended </w:t>
      </w:r>
      <w:r w:rsidR="0053153D">
        <w:t xml:space="preserve">to address </w:t>
      </w:r>
      <w:r w:rsidR="002F62C3">
        <w:t xml:space="preserve">these concerns </w:t>
      </w:r>
      <w:r w:rsidR="00132FCA">
        <w:t>by</w:t>
      </w:r>
      <w:r w:rsidR="002F62C3">
        <w:t xml:space="preserve"> </w:t>
      </w:r>
      <w:r w:rsidR="00693D70">
        <w:t xml:space="preserve">guaranteeing generators </w:t>
      </w:r>
      <w:r w:rsidR="00F517ED">
        <w:t xml:space="preserve">that </w:t>
      </w:r>
      <w:r w:rsidR="00F517ED" w:rsidRPr="00F517ED">
        <w:t>at any time during the operation of their CfD</w:t>
      </w:r>
      <w:r w:rsidR="00F517ED" w:rsidRPr="00F517ED">
        <w:rPr>
          <w:vertAlign w:val="superscript"/>
        </w:rPr>
        <w:footnoteReference w:id="1"/>
      </w:r>
      <w:r w:rsidR="00F517ED">
        <w:t xml:space="preserve">, they will be able </w:t>
      </w:r>
      <w:r w:rsidR="00693D70">
        <w:t xml:space="preserve">to access to a ‘backstop PPA’ </w:t>
      </w:r>
      <w:r w:rsidR="00F918A1">
        <w:t xml:space="preserve">at a specified discount to the market reference price. </w:t>
      </w:r>
      <w:r w:rsidR="00F918A1" w:rsidRPr="00F918A1">
        <w:t xml:space="preserve">By providing this downside protection, we expect that lenders and providers of low cost capital will become more comfortable with </w:t>
      </w:r>
      <w:r w:rsidR="00F517ED">
        <w:t xml:space="preserve">generators using </w:t>
      </w:r>
      <w:r w:rsidR="00F918A1" w:rsidRPr="00F918A1">
        <w:t>a wider range of PPA counterparties and/or shorter-term contracting strategies</w:t>
      </w:r>
      <w:r w:rsidR="005E7AC6">
        <w:t xml:space="preserve"> to secure a route to market</w:t>
      </w:r>
      <w:r w:rsidR="00F517ED">
        <w:t>. This should reduce the PPA discounts experienced by generators, both by stimulating more competition in PPA provision, and enabling generators to avoid paying the</w:t>
      </w:r>
      <w:r w:rsidR="002F62C3">
        <w:t xml:space="preserve"> risk premium in long-term PPAs.</w:t>
      </w:r>
    </w:p>
    <w:p w:rsidR="0019674E" w:rsidRPr="007B1FD8" w:rsidRDefault="00F918A1" w:rsidP="004A0192">
      <w:pPr>
        <w:pStyle w:val="ListParagraph"/>
        <w:numPr>
          <w:ilvl w:val="1"/>
          <w:numId w:val="14"/>
        </w:numPr>
        <w:spacing w:after="120"/>
        <w:ind w:left="567" w:hanging="567"/>
        <w:contextualSpacing w:val="0"/>
        <w:rPr>
          <w:color w:val="FF0000"/>
        </w:rPr>
      </w:pPr>
      <w:r>
        <w:t xml:space="preserve">Whilst </w:t>
      </w:r>
      <w:r w:rsidR="00F517ED">
        <w:t xml:space="preserve">the OLR </w:t>
      </w:r>
      <w:r w:rsidR="00ED3FBB">
        <w:t xml:space="preserve">effectively </w:t>
      </w:r>
      <w:r>
        <w:t>provid</w:t>
      </w:r>
      <w:r w:rsidR="00F517ED">
        <w:t>es</w:t>
      </w:r>
      <w:r>
        <w:t xml:space="preserve"> a cap on route-to-market risks, </w:t>
      </w:r>
      <w:r w:rsidR="00F517ED">
        <w:t xml:space="preserve">it would </w:t>
      </w:r>
      <w:r>
        <w:t>not remov</w:t>
      </w:r>
      <w:r w:rsidR="00F517ED">
        <w:t>e</w:t>
      </w:r>
      <w:r>
        <w:t xml:space="preserve"> them entirely.  The discount will be set at a level that ensures the Backstop PPA remains a ‘last resort’</w:t>
      </w:r>
      <w:r w:rsidR="00F517ED">
        <w:t xml:space="preserve">, with </w:t>
      </w:r>
      <w:r w:rsidR="0017549C">
        <w:t xml:space="preserve">smaller </w:t>
      </w:r>
      <w:r w:rsidR="00F517ED">
        <w:t>discounts being expected to be available in the open market</w:t>
      </w:r>
      <w:r>
        <w:t xml:space="preserve">.  Generators will </w:t>
      </w:r>
      <w:r w:rsidR="00F517ED">
        <w:t xml:space="preserve">be motivated to find the best offers in the open market, and therefore will </w:t>
      </w:r>
      <w:r>
        <w:t xml:space="preserve">retain an incentive to </w:t>
      </w:r>
      <w:r w:rsidR="0019674E">
        <w:t>locate</w:t>
      </w:r>
      <w:r>
        <w:t xml:space="preserve"> and operate their </w:t>
      </w:r>
      <w:r w:rsidR="0019674E">
        <w:t>sites</w:t>
      </w:r>
      <w:r>
        <w:t xml:space="preserve"> efficiently</w:t>
      </w:r>
      <w:r w:rsidR="0019674E">
        <w:t xml:space="preserve"> </w:t>
      </w:r>
      <w:r w:rsidR="00F517ED">
        <w:t xml:space="preserve">to minimise any such discounts, </w:t>
      </w:r>
      <w:r w:rsidR="0019674E">
        <w:t>since they will still be exposed to the ‘first loss’.</w:t>
      </w:r>
      <w:r>
        <w:t xml:space="preserve"> </w:t>
      </w:r>
      <w:r w:rsidR="0019674E" w:rsidRPr="0019674E">
        <w:t>As such, OLR is only an appropriate intervention for those risks that investors are prepared to price.</w:t>
      </w:r>
    </w:p>
    <w:p w:rsidR="0053153D" w:rsidRDefault="0019674E" w:rsidP="004A0192">
      <w:pPr>
        <w:pStyle w:val="ListParagraph"/>
        <w:numPr>
          <w:ilvl w:val="1"/>
          <w:numId w:val="14"/>
        </w:numPr>
        <w:spacing w:after="120"/>
        <w:ind w:left="567" w:hanging="567"/>
        <w:contextualSpacing w:val="0"/>
      </w:pPr>
      <w:r>
        <w:t>Given this framework, t</w:t>
      </w:r>
      <w:r w:rsidR="006A6BE8">
        <w:t xml:space="preserve">his paper considers </w:t>
      </w:r>
      <w:r>
        <w:t xml:space="preserve">which projects and technologies are suitable </w:t>
      </w:r>
      <w:r w:rsidR="006A6BE8">
        <w:t xml:space="preserve">for the OLR.  Specifically we consider whether eligibility should </w:t>
      </w:r>
      <w:r w:rsidR="0053153D">
        <w:t>be subject to</w:t>
      </w:r>
      <w:r w:rsidR="006A6BE8">
        <w:t>:</w:t>
      </w:r>
      <w:r w:rsidR="0053153D">
        <w:t xml:space="preserve"> </w:t>
      </w:r>
    </w:p>
    <w:p w:rsidR="0053153D" w:rsidRDefault="00B64588" w:rsidP="004A0192">
      <w:pPr>
        <w:pStyle w:val="ListParagraph"/>
        <w:numPr>
          <w:ilvl w:val="1"/>
          <w:numId w:val="15"/>
        </w:numPr>
        <w:suppressAutoHyphens/>
        <w:spacing w:after="0" w:line="260" w:lineRule="exact"/>
        <w:ind w:left="1434" w:hanging="357"/>
        <w:contextualSpacing w:val="0"/>
        <w:jc w:val="both"/>
      </w:pPr>
      <w:r>
        <w:t>Market risks</w:t>
      </w:r>
    </w:p>
    <w:p w:rsidR="00B64588" w:rsidRDefault="00B64588" w:rsidP="004A0192">
      <w:pPr>
        <w:pStyle w:val="ListParagraph"/>
        <w:numPr>
          <w:ilvl w:val="1"/>
          <w:numId w:val="15"/>
        </w:numPr>
        <w:suppressAutoHyphens/>
        <w:spacing w:after="0" w:line="260" w:lineRule="exact"/>
        <w:ind w:left="1434" w:hanging="357"/>
        <w:contextualSpacing w:val="0"/>
        <w:jc w:val="both"/>
      </w:pPr>
      <w:r>
        <w:t>Technological maturity</w:t>
      </w:r>
    </w:p>
    <w:p w:rsidR="0053153D" w:rsidRDefault="0053153D" w:rsidP="004A0192">
      <w:pPr>
        <w:pStyle w:val="ListParagraph"/>
        <w:numPr>
          <w:ilvl w:val="1"/>
          <w:numId w:val="15"/>
        </w:numPr>
        <w:suppressAutoHyphens/>
        <w:spacing w:after="0" w:line="260" w:lineRule="exact"/>
        <w:ind w:left="1434" w:hanging="357"/>
        <w:contextualSpacing w:val="0"/>
        <w:jc w:val="both"/>
      </w:pPr>
      <w:r>
        <w:t>Project size</w:t>
      </w:r>
    </w:p>
    <w:p w:rsidR="006A6BE8" w:rsidRDefault="0053153D" w:rsidP="004A0192">
      <w:pPr>
        <w:pStyle w:val="ListParagraph"/>
        <w:numPr>
          <w:ilvl w:val="1"/>
          <w:numId w:val="15"/>
        </w:numPr>
        <w:suppressAutoHyphens/>
        <w:spacing w:after="0" w:line="260" w:lineRule="exact"/>
        <w:ind w:left="1434" w:hanging="357"/>
        <w:contextualSpacing w:val="0"/>
        <w:jc w:val="both"/>
      </w:pPr>
      <w:r>
        <w:t xml:space="preserve">Support mechanism </w:t>
      </w:r>
      <w:r w:rsidR="00BA13E4">
        <w:t xml:space="preserve"> </w:t>
      </w:r>
    </w:p>
    <w:p w:rsidR="006A6BE8" w:rsidRDefault="006A6BE8" w:rsidP="006A6BE8">
      <w:pPr>
        <w:suppressAutoHyphens/>
        <w:spacing w:after="120" w:line="260" w:lineRule="exact"/>
        <w:ind w:left="1080"/>
        <w:jc w:val="both"/>
      </w:pPr>
    </w:p>
    <w:p w:rsidR="006A6BE8" w:rsidRPr="006A6BE8" w:rsidRDefault="006A6BE8" w:rsidP="004A0192">
      <w:pPr>
        <w:pStyle w:val="ListParagraph"/>
        <w:numPr>
          <w:ilvl w:val="1"/>
          <w:numId w:val="14"/>
        </w:numPr>
        <w:spacing w:after="120"/>
        <w:ind w:left="567" w:hanging="567"/>
        <w:contextualSpacing w:val="0"/>
      </w:pPr>
      <w:r>
        <w:t xml:space="preserve">Note, this </w:t>
      </w:r>
      <w:r w:rsidRPr="006A6BE8">
        <w:t xml:space="preserve">paper will not consider the question of </w:t>
      </w:r>
      <w:r w:rsidRPr="0019066F">
        <w:rPr>
          <w:i/>
        </w:rPr>
        <w:t>how</w:t>
      </w:r>
      <w:r w:rsidRPr="006A6BE8">
        <w:t xml:space="preserve"> generators access the offtaker of last resort when require</w:t>
      </w:r>
      <w:r w:rsidR="0019066F">
        <w:t xml:space="preserve">d; this </w:t>
      </w:r>
      <w:r w:rsidRPr="006A6BE8">
        <w:t>will be the subject of a separate paper</w:t>
      </w:r>
      <w:r w:rsidR="004A0192">
        <w:t xml:space="preserve"> on </w:t>
      </w:r>
      <w:r w:rsidR="009D2FEC" w:rsidRPr="009D2FEC">
        <w:t>Access</w:t>
      </w:r>
      <w:r w:rsidR="00F517ED">
        <w:t>ing the OLR</w:t>
      </w:r>
      <w:r w:rsidRPr="007B1FD8">
        <w:t>.</w:t>
      </w:r>
    </w:p>
    <w:p w:rsidR="006A6BE8" w:rsidRPr="006A6BE8" w:rsidRDefault="0019066F" w:rsidP="004A0192">
      <w:pPr>
        <w:pStyle w:val="ListParagraph"/>
        <w:numPr>
          <w:ilvl w:val="1"/>
          <w:numId w:val="14"/>
        </w:numPr>
        <w:spacing w:after="120"/>
        <w:ind w:left="567" w:hanging="567"/>
        <w:contextualSpacing w:val="0"/>
      </w:pPr>
      <w:r>
        <w:t>The</w:t>
      </w:r>
      <w:r w:rsidR="006A6BE8" w:rsidRPr="006A6BE8">
        <w:t xml:space="preserve"> paper will </w:t>
      </w:r>
      <w:r w:rsidR="004A0192">
        <w:t xml:space="preserve">also </w:t>
      </w:r>
      <w:r w:rsidR="006A6BE8" w:rsidRPr="006A6BE8">
        <w:t xml:space="preserve">not assess whether the level or terms of support under the OLR should vary across any of </w:t>
      </w:r>
      <w:r w:rsidR="004A0192">
        <w:t>the eligibility criteria</w:t>
      </w:r>
      <w:r w:rsidR="006A6BE8" w:rsidRPr="006A6BE8">
        <w:t>.  This will be considered within the Pricing paper.</w:t>
      </w:r>
    </w:p>
    <w:p w:rsidR="00BD637B" w:rsidRDefault="00BD637B">
      <w:pPr>
        <w:rPr>
          <w:rFonts w:asciiTheme="majorHAnsi" w:eastAsiaTheme="majorEastAsia" w:hAnsiTheme="majorHAnsi" w:cstheme="majorBidi"/>
          <w:b/>
          <w:bCs/>
          <w:color w:val="4F81BD" w:themeColor="accent1"/>
        </w:rPr>
      </w:pPr>
      <w:r>
        <w:br w:type="page"/>
      </w:r>
    </w:p>
    <w:p w:rsidR="007617AF" w:rsidRDefault="001A1F30" w:rsidP="004A0192">
      <w:pPr>
        <w:pStyle w:val="Heading3"/>
        <w:numPr>
          <w:ilvl w:val="0"/>
          <w:numId w:val="14"/>
        </w:numPr>
        <w:spacing w:after="200"/>
        <w:ind w:left="357" w:hanging="357"/>
      </w:pPr>
      <w:r w:rsidRPr="00F42319">
        <w:lastRenderedPageBreak/>
        <w:t>Assessment Criteria</w:t>
      </w:r>
    </w:p>
    <w:p w:rsidR="007617AF" w:rsidRDefault="007617AF" w:rsidP="004A0192">
      <w:pPr>
        <w:pStyle w:val="ListParagraph"/>
        <w:numPr>
          <w:ilvl w:val="1"/>
          <w:numId w:val="14"/>
        </w:numPr>
        <w:ind w:left="567" w:hanging="567"/>
        <w:contextualSpacing w:val="0"/>
      </w:pPr>
      <w:r>
        <w:t xml:space="preserve">The </w:t>
      </w:r>
      <w:r w:rsidRPr="000F6ADF">
        <w:rPr>
          <w:rFonts w:cstheme="minorHAnsi"/>
        </w:rPr>
        <w:t>design</w:t>
      </w:r>
      <w:r>
        <w:t xml:space="preserve"> of the review procedure should align with</w:t>
      </w:r>
      <w:r w:rsidR="00BA13E4">
        <w:t xml:space="preserve"> the criteria set out in Table </w:t>
      </w:r>
      <w:r w:rsidRPr="00BA13E4">
        <w:t>1</w:t>
      </w:r>
      <w:r>
        <w:t xml:space="preserve"> below.</w:t>
      </w:r>
    </w:p>
    <w:p w:rsidR="007617AF" w:rsidRPr="007617AF" w:rsidRDefault="00BA13E4" w:rsidP="007617AF">
      <w:pPr>
        <w:rPr>
          <w:b/>
        </w:rPr>
      </w:pPr>
      <w:r w:rsidRPr="00BA13E4">
        <w:rPr>
          <w:b/>
        </w:rPr>
        <w:t xml:space="preserve">Table </w:t>
      </w:r>
      <w:r w:rsidR="007617AF" w:rsidRPr="00BA13E4">
        <w:rPr>
          <w:b/>
        </w:rPr>
        <w:t>1</w:t>
      </w:r>
      <w:r w:rsidR="007617AF" w:rsidRPr="007617AF">
        <w:rPr>
          <w:b/>
        </w:rPr>
        <w:t>: Assessment criteria</w:t>
      </w:r>
    </w:p>
    <w:tbl>
      <w:tblPr>
        <w:tblW w:w="0" w:type="auto"/>
        <w:tblInd w:w="108" w:type="dxa"/>
        <w:tblCellMar>
          <w:left w:w="0" w:type="dxa"/>
          <w:right w:w="0" w:type="dxa"/>
        </w:tblCellMar>
        <w:tblLook w:val="04A0" w:firstRow="1" w:lastRow="0" w:firstColumn="1" w:lastColumn="0" w:noHBand="0" w:noVBand="1"/>
      </w:tblPr>
      <w:tblGrid>
        <w:gridCol w:w="2622"/>
        <w:gridCol w:w="6512"/>
      </w:tblGrid>
      <w:tr w:rsidR="00C27FEE" w:rsidTr="00816EA9">
        <w:tc>
          <w:tcPr>
            <w:tcW w:w="2622" w:type="dxa"/>
            <w:tcBorders>
              <w:top w:val="single" w:sz="8" w:space="0" w:color="4F81BD"/>
              <w:left w:val="single" w:sz="8" w:space="0" w:color="4F81BD"/>
              <w:bottom w:val="single" w:sz="8" w:space="0" w:color="4F81BD"/>
              <w:right w:val="single" w:sz="8" w:space="0" w:color="4F81BD"/>
            </w:tcBorders>
            <w:shd w:val="clear" w:color="auto" w:fill="4F81BD"/>
            <w:tcMar>
              <w:top w:w="0" w:type="dxa"/>
              <w:left w:w="108" w:type="dxa"/>
              <w:bottom w:w="0" w:type="dxa"/>
              <w:right w:w="108" w:type="dxa"/>
            </w:tcMar>
            <w:hideMark/>
          </w:tcPr>
          <w:p w:rsidR="00C27FEE" w:rsidRDefault="00C27FEE" w:rsidP="007617AF">
            <w:pPr>
              <w:rPr>
                <w:rFonts w:ascii="Calibri" w:hAnsi="Calibri"/>
                <w:b/>
                <w:bCs/>
                <w:color w:val="FFFFFF"/>
              </w:rPr>
            </w:pPr>
            <w:r>
              <w:rPr>
                <w:b/>
                <w:bCs/>
                <w:color w:val="FFFFFF"/>
              </w:rPr>
              <w:t>Criteria</w:t>
            </w:r>
          </w:p>
        </w:tc>
        <w:tc>
          <w:tcPr>
            <w:tcW w:w="6512" w:type="dxa"/>
            <w:tcBorders>
              <w:top w:val="single" w:sz="8" w:space="0" w:color="4F81BD"/>
              <w:left w:val="nil"/>
              <w:bottom w:val="single" w:sz="8" w:space="0" w:color="4F81BD"/>
              <w:right w:val="single" w:sz="8" w:space="0" w:color="4F81BD"/>
            </w:tcBorders>
            <w:shd w:val="clear" w:color="auto" w:fill="4F81BD"/>
            <w:tcMar>
              <w:top w:w="0" w:type="dxa"/>
              <w:left w:w="108" w:type="dxa"/>
              <w:bottom w:w="0" w:type="dxa"/>
              <w:right w:w="108" w:type="dxa"/>
            </w:tcMar>
            <w:hideMark/>
          </w:tcPr>
          <w:p w:rsidR="00C27FEE" w:rsidRDefault="007617AF" w:rsidP="007617AF">
            <w:pPr>
              <w:rPr>
                <w:rFonts w:ascii="Calibri" w:hAnsi="Calibri"/>
                <w:b/>
                <w:bCs/>
                <w:color w:val="FFFFFF"/>
              </w:rPr>
            </w:pPr>
            <w:r>
              <w:rPr>
                <w:b/>
                <w:bCs/>
                <w:color w:val="FFFFFF"/>
              </w:rPr>
              <w:t>Description</w:t>
            </w:r>
          </w:p>
        </w:tc>
      </w:tr>
      <w:tr w:rsidR="00FE1A64" w:rsidRPr="00A40F87" w:rsidTr="00FE1A64">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FE1A64" w:rsidRPr="007617AF" w:rsidRDefault="00FE1A64" w:rsidP="007617AF">
            <w:pPr>
              <w:rPr>
                <w:b/>
              </w:rPr>
            </w:pPr>
            <w:r w:rsidRPr="007617AF">
              <w:rPr>
                <w:b/>
              </w:rPr>
              <w:t>Availability of financeable routes to market for independents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45159E" w:rsidRDefault="0045159E" w:rsidP="004A0192">
            <w:pPr>
              <w:pStyle w:val="ListParagraph"/>
              <w:numPr>
                <w:ilvl w:val="1"/>
                <w:numId w:val="3"/>
              </w:numPr>
              <w:ind w:left="389" w:hanging="284"/>
            </w:pPr>
            <w:r>
              <w:t xml:space="preserve">Intervention should be targeted at those types of generator at risk of facing difficulty obtaining a financeable routes to market </w:t>
            </w:r>
          </w:p>
          <w:p w:rsidR="00FE1A64" w:rsidRPr="007617AF" w:rsidRDefault="0045159E" w:rsidP="0017549C">
            <w:pPr>
              <w:pStyle w:val="ListParagraph"/>
              <w:numPr>
                <w:ilvl w:val="1"/>
                <w:numId w:val="3"/>
              </w:numPr>
              <w:ind w:left="389" w:hanging="284"/>
              <w:contextualSpacing w:val="0"/>
            </w:pPr>
            <w:r>
              <w:t>Ensure that, notwithstanding its sufficiency,</w:t>
            </w:r>
            <w:r w:rsidR="00E9202B">
              <w:t xml:space="preserve"> the</w:t>
            </w:r>
            <w:r>
              <w:t xml:space="preserve"> OLR is </w:t>
            </w:r>
            <w:r w:rsidR="00E9202B">
              <w:t xml:space="preserve">only available to those types of generator for whom it is </w:t>
            </w:r>
            <w:r>
              <w:t>an appropriate and proportionate intervention</w:t>
            </w:r>
          </w:p>
        </w:tc>
      </w:tr>
      <w:tr w:rsidR="00A2796F" w:rsidRPr="00A40F87" w:rsidTr="00FE1A64">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A2796F" w:rsidRPr="007617AF" w:rsidRDefault="00A2796F" w:rsidP="007617AF">
            <w:pPr>
              <w:rPr>
                <w:b/>
              </w:rPr>
            </w:pPr>
            <w:r>
              <w:rPr>
                <w:b/>
              </w:rPr>
              <w:t>Minimise system costs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A2796F" w:rsidRPr="00D04381" w:rsidRDefault="00A2796F" w:rsidP="004A0192">
            <w:pPr>
              <w:pStyle w:val="ListParagraph"/>
              <w:numPr>
                <w:ilvl w:val="1"/>
                <w:numId w:val="3"/>
              </w:numPr>
              <w:ind w:left="389" w:hanging="284"/>
              <w:contextualSpacing w:val="0"/>
            </w:pPr>
            <w:r>
              <w:t>Ensure that the generator types and technologies included in the OLR are compatible with t</w:t>
            </w:r>
            <w:r w:rsidR="005336DA">
              <w:t>h</w:t>
            </w:r>
            <w:r>
              <w:t>e need to maximise competition for t</w:t>
            </w:r>
            <w:r w:rsidR="005336DA">
              <w:t>he provision of backstop PPAs (where competitive allocation is used)</w:t>
            </w:r>
          </w:p>
        </w:tc>
      </w:tr>
      <w:tr w:rsidR="00FE1A64" w:rsidRPr="00A40F87" w:rsidTr="00FE1A64">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FE1A64" w:rsidRPr="007617AF" w:rsidRDefault="00FE1A64" w:rsidP="007617AF">
            <w:pPr>
              <w:rPr>
                <w:b/>
              </w:rPr>
            </w:pPr>
            <w:r w:rsidRPr="007617AF">
              <w:rPr>
                <w:b/>
              </w:rPr>
              <w:t xml:space="preserve">Impact on suppliers </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FE1A64" w:rsidRPr="007617AF" w:rsidRDefault="00D04381" w:rsidP="004A0192">
            <w:pPr>
              <w:pStyle w:val="ListParagraph"/>
              <w:numPr>
                <w:ilvl w:val="1"/>
                <w:numId w:val="3"/>
              </w:numPr>
              <w:ind w:left="389" w:hanging="284"/>
              <w:contextualSpacing w:val="0"/>
            </w:pPr>
            <w:r w:rsidRPr="00D04381">
              <w:t>Eligibility criteria should not create the potential for undue burden on any one supplier</w:t>
            </w:r>
            <w:r w:rsidR="00E9202B">
              <w:t xml:space="preserve"> or excessive levels of systemic risk</w:t>
            </w:r>
          </w:p>
        </w:tc>
      </w:tr>
      <w:tr w:rsidR="00FE1A64" w:rsidTr="00FE1A64">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7617AF" w:rsidRPr="007617AF" w:rsidRDefault="00FE1A64" w:rsidP="007617AF">
            <w:pPr>
              <w:rPr>
                <w:b/>
              </w:rPr>
            </w:pPr>
            <w:r w:rsidRPr="007617AF">
              <w:rPr>
                <w:b/>
              </w:rPr>
              <w:t>Potential for market distortions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104DC7" w:rsidRPr="007617AF" w:rsidRDefault="00D04381" w:rsidP="004A0192">
            <w:pPr>
              <w:pStyle w:val="ListParagraph"/>
              <w:numPr>
                <w:ilvl w:val="1"/>
                <w:numId w:val="3"/>
              </w:numPr>
              <w:ind w:left="389" w:hanging="284"/>
              <w:contextualSpacing w:val="0"/>
            </w:pPr>
            <w:r w:rsidRPr="00D04381">
              <w:t>Minimise distortionary effects in relation to investment across asset classes</w:t>
            </w:r>
          </w:p>
        </w:tc>
      </w:tr>
      <w:tr w:rsidR="00FE1A64" w:rsidRPr="00400395" w:rsidTr="00FE1A64">
        <w:trPr>
          <w:trHeight w:val="80"/>
        </w:trPr>
        <w:tc>
          <w:tcPr>
            <w:tcW w:w="2622"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rsidR="00FE1A64" w:rsidRPr="007617AF" w:rsidRDefault="00FE1A64" w:rsidP="007617AF">
            <w:pPr>
              <w:rPr>
                <w:b/>
              </w:rPr>
            </w:pPr>
            <w:r w:rsidRPr="007617AF">
              <w:rPr>
                <w:b/>
              </w:rPr>
              <w:t>Practicality and cost of implementation and administration</w:t>
            </w:r>
          </w:p>
        </w:tc>
        <w:tc>
          <w:tcPr>
            <w:tcW w:w="6512" w:type="dxa"/>
            <w:tcBorders>
              <w:top w:val="single" w:sz="8" w:space="0" w:color="4F81BD"/>
              <w:left w:val="nil"/>
              <w:bottom w:val="single" w:sz="8" w:space="0" w:color="4F81BD"/>
              <w:right w:val="single" w:sz="8" w:space="0" w:color="4F81BD"/>
            </w:tcBorders>
            <w:tcMar>
              <w:top w:w="0" w:type="dxa"/>
              <w:left w:w="108" w:type="dxa"/>
              <w:bottom w:w="0" w:type="dxa"/>
              <w:right w:w="108" w:type="dxa"/>
            </w:tcMar>
          </w:tcPr>
          <w:p w:rsidR="007617AF" w:rsidRPr="007617AF" w:rsidRDefault="00D04381" w:rsidP="004A0192">
            <w:pPr>
              <w:pStyle w:val="ListParagraph"/>
              <w:numPr>
                <w:ilvl w:val="1"/>
                <w:numId w:val="3"/>
              </w:numPr>
              <w:ind w:left="389" w:hanging="284"/>
              <w:contextualSpacing w:val="0"/>
            </w:pPr>
            <w:r w:rsidRPr="00D04381">
              <w:t>Criteria need to be transparent and easily implemented</w:t>
            </w:r>
          </w:p>
        </w:tc>
      </w:tr>
      <w:tr w:rsidR="00FE1A64" w:rsidRPr="00400395" w:rsidTr="00FE1A64">
        <w:trPr>
          <w:trHeight w:val="80"/>
        </w:trPr>
        <w:tc>
          <w:tcPr>
            <w:tcW w:w="2622"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rsidR="00FE1A64" w:rsidRPr="007617AF" w:rsidRDefault="00FE1A64" w:rsidP="007617AF">
            <w:pPr>
              <w:rPr>
                <w:b/>
              </w:rPr>
            </w:pPr>
            <w:r w:rsidRPr="007617AF">
              <w:rPr>
                <w:b/>
              </w:rPr>
              <w:t>Legal risk and potential compliance cost</w:t>
            </w:r>
          </w:p>
        </w:tc>
        <w:tc>
          <w:tcPr>
            <w:tcW w:w="6512" w:type="dxa"/>
            <w:tcBorders>
              <w:top w:val="single" w:sz="8" w:space="0" w:color="4F81BD"/>
              <w:left w:val="nil"/>
              <w:bottom w:val="single" w:sz="8" w:space="0" w:color="4F81BD"/>
              <w:right w:val="single" w:sz="8" w:space="0" w:color="4F81BD"/>
            </w:tcBorders>
            <w:tcMar>
              <w:top w:w="0" w:type="dxa"/>
              <w:left w:w="108" w:type="dxa"/>
              <w:bottom w:w="0" w:type="dxa"/>
              <w:right w:w="108" w:type="dxa"/>
            </w:tcMar>
          </w:tcPr>
          <w:p w:rsidR="00FE1A64" w:rsidRPr="007617AF" w:rsidRDefault="004F5E7A" w:rsidP="004A0192">
            <w:pPr>
              <w:pStyle w:val="ListParagraph"/>
              <w:numPr>
                <w:ilvl w:val="1"/>
                <w:numId w:val="3"/>
              </w:numPr>
              <w:ind w:left="389" w:hanging="284"/>
              <w:contextualSpacing w:val="0"/>
            </w:pPr>
            <w:r w:rsidRPr="004F5E7A">
              <w:t>Eligibility should be based on clear</w:t>
            </w:r>
            <w:r>
              <w:t xml:space="preserve"> and objective criteria which m</w:t>
            </w:r>
            <w:r w:rsidRPr="004F5E7A">
              <w:t>inimises discriminatory treatment</w:t>
            </w:r>
          </w:p>
        </w:tc>
      </w:tr>
    </w:tbl>
    <w:p w:rsidR="00C27FEE" w:rsidRDefault="00C27FEE" w:rsidP="007617AF">
      <w:pPr>
        <w:rPr>
          <w:rFonts w:cstheme="minorHAnsi"/>
          <w:i/>
          <w:highlight w:val="yellow"/>
        </w:rPr>
      </w:pPr>
    </w:p>
    <w:p w:rsidR="00BF1104" w:rsidRDefault="0053199C" w:rsidP="004A0192">
      <w:pPr>
        <w:pStyle w:val="Heading3"/>
        <w:numPr>
          <w:ilvl w:val="0"/>
          <w:numId w:val="14"/>
        </w:numPr>
        <w:spacing w:after="200"/>
        <w:ind w:left="357" w:hanging="357"/>
      </w:pPr>
      <w:r>
        <w:t>Options</w:t>
      </w:r>
    </w:p>
    <w:p w:rsidR="00B17225" w:rsidRDefault="00B17225" w:rsidP="004A0192">
      <w:pPr>
        <w:pStyle w:val="ListParagraph"/>
        <w:numPr>
          <w:ilvl w:val="1"/>
          <w:numId w:val="14"/>
        </w:numPr>
        <w:ind w:left="567" w:hanging="567"/>
        <w:contextualSpacing w:val="0"/>
        <w:rPr>
          <w:rFonts w:cstheme="minorHAnsi"/>
        </w:rPr>
      </w:pPr>
      <w:r>
        <w:rPr>
          <w:rFonts w:cstheme="minorHAnsi"/>
        </w:rPr>
        <w:t xml:space="preserve">Given the objective to limit access to the OLR to those types of generator facing </w:t>
      </w:r>
      <w:r w:rsidR="0017549C">
        <w:rPr>
          <w:rFonts w:cstheme="minorHAnsi"/>
        </w:rPr>
        <w:t>route-</w:t>
      </w:r>
      <w:r w:rsidR="00B64588">
        <w:rPr>
          <w:rFonts w:cstheme="minorHAnsi"/>
        </w:rPr>
        <w:t>to-</w:t>
      </w:r>
      <w:r>
        <w:rPr>
          <w:rFonts w:cstheme="minorHAnsi"/>
        </w:rPr>
        <w:t xml:space="preserve">market </w:t>
      </w:r>
      <w:r w:rsidR="00B64588">
        <w:rPr>
          <w:rFonts w:cstheme="minorHAnsi"/>
        </w:rPr>
        <w:t xml:space="preserve">risks </w:t>
      </w:r>
      <w:r>
        <w:rPr>
          <w:rFonts w:cstheme="minorHAnsi"/>
        </w:rPr>
        <w:t xml:space="preserve">under the CfD, we consider eligibility across </w:t>
      </w:r>
      <w:r w:rsidR="0017549C">
        <w:rPr>
          <w:rFonts w:cstheme="minorHAnsi"/>
        </w:rPr>
        <w:t xml:space="preserve">the following </w:t>
      </w:r>
      <w:r>
        <w:rPr>
          <w:rFonts w:cstheme="minorHAnsi"/>
        </w:rPr>
        <w:t>areas.</w:t>
      </w:r>
    </w:p>
    <w:p w:rsidR="006B6DFD" w:rsidRDefault="006B6DFD" w:rsidP="0061228A">
      <w:pPr>
        <w:pStyle w:val="ListParagraph"/>
        <w:numPr>
          <w:ilvl w:val="2"/>
          <w:numId w:val="14"/>
        </w:numPr>
        <w:spacing w:after="0"/>
        <w:ind w:left="1225" w:hanging="505"/>
        <w:contextualSpacing w:val="0"/>
        <w:rPr>
          <w:rFonts w:cstheme="minorHAnsi"/>
        </w:rPr>
      </w:pPr>
      <w:r>
        <w:rPr>
          <w:rFonts w:cstheme="minorHAnsi"/>
        </w:rPr>
        <w:t>Technologies:</w:t>
      </w:r>
    </w:p>
    <w:p w:rsidR="00B64588" w:rsidRDefault="00B64588" w:rsidP="006B6DFD">
      <w:pPr>
        <w:pStyle w:val="ListParagraph"/>
        <w:numPr>
          <w:ilvl w:val="3"/>
          <w:numId w:val="14"/>
        </w:numPr>
        <w:spacing w:after="0"/>
        <w:contextualSpacing w:val="0"/>
        <w:rPr>
          <w:rFonts w:cstheme="minorHAnsi"/>
        </w:rPr>
      </w:pPr>
      <w:r>
        <w:rPr>
          <w:rFonts w:cstheme="minorHAnsi"/>
        </w:rPr>
        <w:t>Market risks</w:t>
      </w:r>
    </w:p>
    <w:p w:rsidR="00B64588" w:rsidRDefault="00B64588" w:rsidP="006B6DFD">
      <w:pPr>
        <w:pStyle w:val="ListParagraph"/>
        <w:numPr>
          <w:ilvl w:val="3"/>
          <w:numId w:val="14"/>
        </w:numPr>
        <w:spacing w:after="0"/>
        <w:contextualSpacing w:val="0"/>
        <w:rPr>
          <w:rFonts w:cstheme="minorHAnsi"/>
        </w:rPr>
      </w:pPr>
      <w:r w:rsidRPr="00B64588">
        <w:rPr>
          <w:rFonts w:cstheme="minorHAnsi"/>
        </w:rPr>
        <w:t>Technological maturity</w:t>
      </w:r>
    </w:p>
    <w:p w:rsidR="00206749" w:rsidRPr="00B64588" w:rsidRDefault="007E73B6" w:rsidP="00B64588">
      <w:pPr>
        <w:pStyle w:val="ListParagraph"/>
        <w:numPr>
          <w:ilvl w:val="2"/>
          <w:numId w:val="14"/>
        </w:numPr>
        <w:spacing w:after="0"/>
        <w:ind w:left="1225" w:hanging="505"/>
        <w:contextualSpacing w:val="0"/>
        <w:rPr>
          <w:rFonts w:cstheme="minorHAnsi"/>
        </w:rPr>
      </w:pPr>
      <w:r>
        <w:rPr>
          <w:rFonts w:cstheme="minorHAnsi"/>
        </w:rPr>
        <w:t>Project</w:t>
      </w:r>
      <w:r w:rsidRPr="00B64588">
        <w:rPr>
          <w:rFonts w:cstheme="minorHAnsi"/>
        </w:rPr>
        <w:t xml:space="preserve"> </w:t>
      </w:r>
      <w:r w:rsidR="009D2FEC" w:rsidRPr="00B64588">
        <w:rPr>
          <w:rFonts w:cstheme="minorHAnsi"/>
        </w:rPr>
        <w:t xml:space="preserve">size </w:t>
      </w:r>
      <w:r w:rsidR="00206749" w:rsidRPr="00B64588">
        <w:rPr>
          <w:rFonts w:cstheme="minorHAnsi"/>
        </w:rPr>
        <w:t xml:space="preserve"> </w:t>
      </w:r>
    </w:p>
    <w:p w:rsidR="009D2FEC" w:rsidRDefault="009D2FEC" w:rsidP="0061228A">
      <w:pPr>
        <w:pStyle w:val="ListParagraph"/>
        <w:numPr>
          <w:ilvl w:val="2"/>
          <w:numId w:val="14"/>
        </w:numPr>
        <w:spacing w:after="0"/>
        <w:ind w:left="1225" w:hanging="505"/>
        <w:contextualSpacing w:val="0"/>
        <w:rPr>
          <w:rFonts w:cstheme="minorHAnsi"/>
        </w:rPr>
      </w:pPr>
      <w:r>
        <w:rPr>
          <w:rFonts w:cstheme="minorHAnsi"/>
        </w:rPr>
        <w:t xml:space="preserve">Support type </w:t>
      </w:r>
    </w:p>
    <w:p w:rsidR="009D2FEC" w:rsidRPr="009D2FEC" w:rsidRDefault="009D2FEC" w:rsidP="009D2FEC">
      <w:pPr>
        <w:rPr>
          <w:rFonts w:cstheme="minorHAnsi"/>
        </w:rPr>
      </w:pPr>
    </w:p>
    <w:p w:rsidR="00BD637B" w:rsidRDefault="00BD637B">
      <w:pPr>
        <w:rPr>
          <w:rFonts w:cstheme="minorHAnsi"/>
          <w:b/>
        </w:rPr>
      </w:pPr>
      <w:r>
        <w:rPr>
          <w:rFonts w:cstheme="minorHAnsi"/>
          <w:b/>
        </w:rPr>
        <w:br w:type="page"/>
      </w:r>
    </w:p>
    <w:p w:rsidR="006B6DFD" w:rsidRPr="008270E0" w:rsidRDefault="006B6DFD" w:rsidP="008270E0">
      <w:pPr>
        <w:pStyle w:val="ListParagraph"/>
        <w:numPr>
          <w:ilvl w:val="1"/>
          <w:numId w:val="14"/>
        </w:numPr>
        <w:ind w:left="567" w:hanging="567"/>
        <w:contextualSpacing w:val="0"/>
        <w:rPr>
          <w:rFonts w:cstheme="minorHAnsi"/>
          <w:b/>
        </w:rPr>
      </w:pPr>
      <w:r w:rsidRPr="006B6DFD">
        <w:rPr>
          <w:rFonts w:cstheme="minorHAnsi"/>
          <w:b/>
        </w:rPr>
        <w:lastRenderedPageBreak/>
        <w:t>Technologies</w:t>
      </w:r>
    </w:p>
    <w:p w:rsidR="00EA2FB8" w:rsidRPr="007B1FD8" w:rsidRDefault="00B64588" w:rsidP="002E7615">
      <w:pPr>
        <w:pStyle w:val="ListParagraph"/>
        <w:numPr>
          <w:ilvl w:val="2"/>
          <w:numId w:val="14"/>
        </w:numPr>
        <w:ind w:left="993"/>
        <w:contextualSpacing w:val="0"/>
        <w:rPr>
          <w:rFonts w:cstheme="minorHAnsi"/>
        </w:rPr>
      </w:pPr>
      <w:r>
        <w:rPr>
          <w:rFonts w:cstheme="minorHAnsi"/>
          <w:b/>
        </w:rPr>
        <w:t>Market Risks</w:t>
      </w:r>
    </w:p>
    <w:p w:rsidR="00B44914" w:rsidRDefault="003F1444" w:rsidP="00813D6F">
      <w:pPr>
        <w:rPr>
          <w:rFonts w:cstheme="minorHAnsi"/>
        </w:rPr>
      </w:pPr>
      <w:r>
        <w:rPr>
          <w:rFonts w:cstheme="minorHAnsi"/>
        </w:rPr>
        <w:t>Industry h</w:t>
      </w:r>
      <w:r w:rsidR="00EA2FB8">
        <w:rPr>
          <w:rFonts w:cstheme="minorHAnsi"/>
        </w:rPr>
        <w:t xml:space="preserve">ave </w:t>
      </w:r>
      <w:r>
        <w:rPr>
          <w:rFonts w:cstheme="minorHAnsi"/>
        </w:rPr>
        <w:t xml:space="preserve">raised two </w:t>
      </w:r>
      <w:r w:rsidR="00813D6F">
        <w:rPr>
          <w:rFonts w:cstheme="minorHAnsi"/>
        </w:rPr>
        <w:t xml:space="preserve">risks that </w:t>
      </w:r>
      <w:r>
        <w:rPr>
          <w:rFonts w:cstheme="minorHAnsi"/>
        </w:rPr>
        <w:t>they see as potentially compromising their rout</w:t>
      </w:r>
      <w:r w:rsidR="00813D6F">
        <w:rPr>
          <w:rFonts w:cstheme="minorHAnsi"/>
        </w:rPr>
        <w:t>e-to-market under the CfD:  imbalance risk and liquidity risk</w:t>
      </w:r>
    </w:p>
    <w:p w:rsidR="007D0147" w:rsidRPr="007D0147" w:rsidRDefault="00EA2FB8" w:rsidP="002E7615">
      <w:pPr>
        <w:pStyle w:val="ListParagraph"/>
        <w:numPr>
          <w:ilvl w:val="3"/>
          <w:numId w:val="14"/>
        </w:numPr>
        <w:ind w:left="1134" w:hanging="425"/>
        <w:rPr>
          <w:rFonts w:cstheme="minorHAnsi"/>
          <w:b/>
          <w:i/>
        </w:rPr>
      </w:pPr>
      <w:r>
        <w:rPr>
          <w:rFonts w:cstheme="minorHAnsi"/>
          <w:b/>
          <w:i/>
        </w:rPr>
        <w:t>Imbalance risk</w:t>
      </w:r>
    </w:p>
    <w:p w:rsidR="007E423A" w:rsidRPr="007E423A" w:rsidRDefault="00E9202B" w:rsidP="00F055BF">
      <w:pPr>
        <w:pStyle w:val="ListParagraph"/>
        <w:numPr>
          <w:ilvl w:val="3"/>
          <w:numId w:val="28"/>
        </w:numPr>
        <w:ind w:left="1134" w:hanging="310"/>
        <w:rPr>
          <w:rFonts w:cstheme="minorHAnsi"/>
        </w:rPr>
      </w:pPr>
      <w:r>
        <w:rPr>
          <w:rFonts w:cstheme="minorHAnsi"/>
        </w:rPr>
        <w:t xml:space="preserve">Although </w:t>
      </w:r>
      <w:r w:rsidR="007D0147">
        <w:rPr>
          <w:rFonts w:cstheme="minorHAnsi"/>
        </w:rPr>
        <w:t xml:space="preserve">the CfD </w:t>
      </w:r>
      <w:r>
        <w:rPr>
          <w:rFonts w:cstheme="minorHAnsi"/>
        </w:rPr>
        <w:t xml:space="preserve">removes long-term wholesale price risk, </w:t>
      </w:r>
      <w:r w:rsidR="007D0147">
        <w:rPr>
          <w:rFonts w:cstheme="minorHAnsi"/>
        </w:rPr>
        <w:t>generators remain exposed to the</w:t>
      </w:r>
      <w:r w:rsidR="00813D6F">
        <w:rPr>
          <w:rFonts w:cstheme="minorHAnsi"/>
        </w:rPr>
        <w:t>ir</w:t>
      </w:r>
      <w:r w:rsidR="007D0147">
        <w:rPr>
          <w:rFonts w:cstheme="minorHAnsi"/>
        </w:rPr>
        <w:t xml:space="preserve"> imbalance</w:t>
      </w:r>
      <w:r w:rsidR="00813D6F">
        <w:rPr>
          <w:rFonts w:cstheme="minorHAnsi"/>
        </w:rPr>
        <w:t xml:space="preserve"> costs</w:t>
      </w:r>
      <w:r w:rsidR="007D0147">
        <w:rPr>
          <w:rFonts w:cstheme="minorHAnsi"/>
        </w:rPr>
        <w:t xml:space="preserve">.  It is important that these costs are left with generators to </w:t>
      </w:r>
      <w:r w:rsidR="005578BC">
        <w:rPr>
          <w:rFonts w:cstheme="minorHAnsi"/>
        </w:rPr>
        <w:t>encourage suitable siting of plant, accurate forecasting and technological innovation that can minimise the system costs.</w:t>
      </w:r>
    </w:p>
    <w:p w:rsidR="003460F0" w:rsidRPr="009D008F" w:rsidRDefault="007E423A" w:rsidP="00F055BF">
      <w:pPr>
        <w:pStyle w:val="ListParagraph"/>
        <w:numPr>
          <w:ilvl w:val="3"/>
          <w:numId w:val="28"/>
        </w:numPr>
        <w:ind w:left="1134" w:hanging="310"/>
        <w:rPr>
          <w:rFonts w:cstheme="minorHAnsi"/>
        </w:rPr>
      </w:pPr>
      <w:r>
        <w:rPr>
          <w:rFonts w:cstheme="minorHAnsi"/>
        </w:rPr>
        <w:t>All generators face i</w:t>
      </w:r>
      <w:r w:rsidR="001764A9">
        <w:rPr>
          <w:rFonts w:cstheme="minorHAnsi"/>
        </w:rPr>
        <w:t>mbalance costs</w:t>
      </w:r>
      <w:r>
        <w:rPr>
          <w:rFonts w:cstheme="minorHAnsi"/>
        </w:rPr>
        <w:t xml:space="preserve">.  However, the materiality of these costs both now and in future will </w:t>
      </w:r>
      <w:r w:rsidR="00C24537">
        <w:rPr>
          <w:rFonts w:cstheme="minorHAnsi"/>
        </w:rPr>
        <w:t>differ by technology</w:t>
      </w:r>
      <w:r>
        <w:rPr>
          <w:rFonts w:cstheme="minorHAnsi"/>
        </w:rPr>
        <w:t>.  Intermittent generators are more likely to be out of balance</w:t>
      </w:r>
      <w:r w:rsidR="00C24537">
        <w:rPr>
          <w:rFonts w:cstheme="minorHAnsi"/>
        </w:rPr>
        <w:t xml:space="preserve">; technologies whose imbalance correlates with system imbalance will be most exposed to costs. </w:t>
      </w:r>
      <w:r w:rsidR="001764A9">
        <w:rPr>
          <w:rFonts w:cstheme="minorHAnsi"/>
        </w:rPr>
        <w:t xml:space="preserve"> </w:t>
      </w:r>
      <w:r w:rsidR="00647669" w:rsidRPr="009D008F">
        <w:rPr>
          <w:rFonts w:cstheme="minorHAnsi"/>
          <w:highlight w:val="yellow"/>
        </w:rPr>
        <w:t xml:space="preserve">  </w:t>
      </w:r>
    </w:p>
    <w:p w:rsidR="009D008F" w:rsidRDefault="00813D6F" w:rsidP="00F055BF">
      <w:pPr>
        <w:pStyle w:val="ListParagraph"/>
        <w:numPr>
          <w:ilvl w:val="3"/>
          <w:numId w:val="28"/>
        </w:numPr>
        <w:ind w:left="1134" w:hanging="310"/>
        <w:rPr>
          <w:rFonts w:cstheme="minorHAnsi"/>
        </w:rPr>
      </w:pPr>
      <w:r>
        <w:rPr>
          <w:rFonts w:cstheme="minorHAnsi"/>
        </w:rPr>
        <w:t>We</w:t>
      </w:r>
      <w:r w:rsidR="0019531D">
        <w:rPr>
          <w:rFonts w:cstheme="minorHAnsi"/>
        </w:rPr>
        <w:t xml:space="preserve"> believe that the CfD will increase competition within the PPA market, </w:t>
      </w:r>
      <w:r w:rsidR="003460F0">
        <w:rPr>
          <w:rFonts w:cstheme="minorHAnsi"/>
        </w:rPr>
        <w:t xml:space="preserve">encouraging new entrants and </w:t>
      </w:r>
      <w:r w:rsidR="0019531D">
        <w:rPr>
          <w:rFonts w:cstheme="minorHAnsi"/>
        </w:rPr>
        <w:t xml:space="preserve">products that </w:t>
      </w:r>
      <w:r w:rsidR="001A17AC">
        <w:rPr>
          <w:rFonts w:cstheme="minorHAnsi"/>
        </w:rPr>
        <w:t xml:space="preserve">allow generators </w:t>
      </w:r>
      <w:r w:rsidR="00164CAC">
        <w:rPr>
          <w:rFonts w:cstheme="minorHAnsi"/>
        </w:rPr>
        <w:t xml:space="preserve">and offtakers </w:t>
      </w:r>
      <w:r w:rsidR="001A17AC">
        <w:rPr>
          <w:rFonts w:cstheme="minorHAnsi"/>
        </w:rPr>
        <w:t xml:space="preserve">to manage imbalance risk cost-effectively. </w:t>
      </w:r>
      <w:r w:rsidR="003F1444">
        <w:rPr>
          <w:rFonts w:cstheme="minorHAnsi"/>
        </w:rPr>
        <w:t xml:space="preserve">However, </w:t>
      </w:r>
      <w:r w:rsidR="009D008F">
        <w:rPr>
          <w:rFonts w:cstheme="minorHAnsi"/>
        </w:rPr>
        <w:t xml:space="preserve">particularly </w:t>
      </w:r>
      <w:r w:rsidR="003F1444">
        <w:rPr>
          <w:rFonts w:cstheme="minorHAnsi"/>
        </w:rPr>
        <w:t>at the outset of the Cf</w:t>
      </w:r>
      <w:r w:rsidR="001A17AC">
        <w:rPr>
          <w:rFonts w:cstheme="minorHAnsi"/>
        </w:rPr>
        <w:t>D</w:t>
      </w:r>
      <w:r w:rsidR="003F1444">
        <w:rPr>
          <w:rFonts w:cstheme="minorHAnsi"/>
        </w:rPr>
        <w:t>,</w:t>
      </w:r>
      <w:r w:rsidR="001A17AC">
        <w:rPr>
          <w:rFonts w:cstheme="minorHAnsi"/>
        </w:rPr>
        <w:t xml:space="preserve"> f</w:t>
      </w:r>
      <w:r w:rsidR="00647669">
        <w:rPr>
          <w:rFonts w:cstheme="minorHAnsi"/>
        </w:rPr>
        <w:t xml:space="preserve">inancers and </w:t>
      </w:r>
      <w:r>
        <w:rPr>
          <w:rFonts w:cstheme="minorHAnsi"/>
        </w:rPr>
        <w:t xml:space="preserve">traditional </w:t>
      </w:r>
      <w:r w:rsidR="00647669">
        <w:rPr>
          <w:rFonts w:cstheme="minorHAnsi"/>
        </w:rPr>
        <w:t>offtakers</w:t>
      </w:r>
      <w:r w:rsidR="001A17AC">
        <w:rPr>
          <w:rFonts w:cstheme="minorHAnsi"/>
        </w:rPr>
        <w:t xml:space="preserve"> may treat the imbalance</w:t>
      </w:r>
      <w:r w:rsidR="00647669">
        <w:rPr>
          <w:rFonts w:cstheme="minorHAnsi"/>
        </w:rPr>
        <w:t xml:space="preserve"> uncertain</w:t>
      </w:r>
      <w:r w:rsidR="007E73B6">
        <w:rPr>
          <w:rFonts w:cstheme="minorHAnsi"/>
        </w:rPr>
        <w:t>t</w:t>
      </w:r>
      <w:r w:rsidR="00647669">
        <w:rPr>
          <w:rFonts w:cstheme="minorHAnsi"/>
        </w:rPr>
        <w:t>y cautiously</w:t>
      </w:r>
      <w:r w:rsidR="009D008F">
        <w:rPr>
          <w:rFonts w:cstheme="minorHAnsi"/>
        </w:rPr>
        <w:t xml:space="preserve"> and require generators to secure</w:t>
      </w:r>
      <w:r w:rsidR="00647669">
        <w:rPr>
          <w:rFonts w:cstheme="minorHAnsi"/>
        </w:rPr>
        <w:t xml:space="preserve"> </w:t>
      </w:r>
      <w:r w:rsidR="00070CA4">
        <w:rPr>
          <w:rFonts w:cstheme="minorHAnsi"/>
        </w:rPr>
        <w:t>long-term PPAs to give confidence over revenues</w:t>
      </w:r>
      <w:r w:rsidR="009D008F">
        <w:rPr>
          <w:rFonts w:cstheme="minorHAnsi"/>
        </w:rPr>
        <w:t>.</w:t>
      </w:r>
    </w:p>
    <w:p w:rsidR="009D008F" w:rsidRDefault="00A35479" w:rsidP="00F055BF">
      <w:pPr>
        <w:pStyle w:val="ListParagraph"/>
        <w:numPr>
          <w:ilvl w:val="3"/>
          <w:numId w:val="28"/>
        </w:numPr>
        <w:ind w:left="1134" w:hanging="310"/>
        <w:rPr>
          <w:rFonts w:cstheme="minorHAnsi"/>
        </w:rPr>
      </w:pPr>
      <w:r>
        <w:rPr>
          <w:rFonts w:cstheme="minorHAnsi"/>
        </w:rPr>
        <w:t>It is likely that the</w:t>
      </w:r>
      <w:r w:rsidR="009D008F">
        <w:rPr>
          <w:rFonts w:cstheme="minorHAnsi"/>
        </w:rPr>
        <w:t xml:space="preserve"> availability of these long-term PPAs</w:t>
      </w:r>
      <w:r>
        <w:rPr>
          <w:rFonts w:cstheme="minorHAnsi"/>
        </w:rPr>
        <w:t xml:space="preserve"> will be low</w:t>
      </w:r>
      <w:r w:rsidR="009D008F">
        <w:rPr>
          <w:rFonts w:cstheme="minorHAnsi"/>
        </w:rPr>
        <w:t xml:space="preserve">, stemming from </w:t>
      </w:r>
      <w:r w:rsidR="00E6397F">
        <w:rPr>
          <w:rFonts w:cstheme="minorHAnsi"/>
        </w:rPr>
        <w:t xml:space="preserve">both </w:t>
      </w:r>
      <w:r w:rsidR="009D008F">
        <w:rPr>
          <w:rFonts w:cstheme="minorHAnsi"/>
        </w:rPr>
        <w:t>the limit</w:t>
      </w:r>
      <w:r>
        <w:rPr>
          <w:rFonts w:cstheme="minorHAnsi"/>
        </w:rPr>
        <w:t>ed</w:t>
      </w:r>
      <w:r w:rsidR="009D008F">
        <w:rPr>
          <w:rFonts w:cstheme="minorHAnsi"/>
        </w:rPr>
        <w:t xml:space="preserve"> number of potential credit-worthy offtakers that can offer such long-term contracts, and the</w:t>
      </w:r>
      <w:r w:rsidR="003C1F1D">
        <w:rPr>
          <w:rFonts w:cstheme="minorHAnsi"/>
        </w:rPr>
        <w:t>ir</w:t>
      </w:r>
      <w:r w:rsidR="009D008F">
        <w:rPr>
          <w:rFonts w:cstheme="minorHAnsi"/>
        </w:rPr>
        <w:t xml:space="preserve"> limited capacity</w:t>
      </w:r>
      <w:r w:rsidR="003C1F1D">
        <w:rPr>
          <w:rFonts w:cstheme="minorHAnsi"/>
        </w:rPr>
        <w:t xml:space="preserve"> to do so.</w:t>
      </w:r>
      <w:r w:rsidR="009D008F">
        <w:rPr>
          <w:rFonts w:cstheme="minorHAnsi"/>
        </w:rPr>
        <w:t xml:space="preserve"> </w:t>
      </w:r>
      <w:r>
        <w:rPr>
          <w:rFonts w:cstheme="minorHAnsi"/>
        </w:rPr>
        <w:t xml:space="preserve"> The combination of lenders being unwilling to take merchant route-to-market risk and a shortage of offtakers able to offer long-term PPAs creates the route-to-market risk for generators.</w:t>
      </w:r>
    </w:p>
    <w:p w:rsidR="00F57ADF" w:rsidRPr="009D008F" w:rsidRDefault="003460F0" w:rsidP="00F055BF">
      <w:pPr>
        <w:pStyle w:val="ListParagraph"/>
        <w:numPr>
          <w:ilvl w:val="3"/>
          <w:numId w:val="28"/>
        </w:numPr>
        <w:ind w:left="1134" w:hanging="310"/>
        <w:rPr>
          <w:rFonts w:cstheme="minorHAnsi"/>
        </w:rPr>
      </w:pPr>
      <w:r w:rsidRPr="009D008F">
        <w:rPr>
          <w:rFonts w:cstheme="minorHAnsi"/>
        </w:rPr>
        <w:t>Imbalance is a risk that the market (both</w:t>
      </w:r>
      <w:r w:rsidR="00F57ADF" w:rsidRPr="009D008F">
        <w:rPr>
          <w:rFonts w:cstheme="minorHAnsi"/>
        </w:rPr>
        <w:t xml:space="preserve"> </w:t>
      </w:r>
      <w:r w:rsidRPr="009D008F">
        <w:rPr>
          <w:rFonts w:cstheme="minorHAnsi"/>
        </w:rPr>
        <w:t>PPA and</w:t>
      </w:r>
      <w:r w:rsidR="00F57ADF" w:rsidRPr="009D008F">
        <w:rPr>
          <w:rFonts w:cstheme="minorHAnsi"/>
        </w:rPr>
        <w:t xml:space="preserve"> capital providers) can and should price</w:t>
      </w:r>
      <w:r w:rsidR="00E12155" w:rsidRPr="009D008F">
        <w:rPr>
          <w:rFonts w:cstheme="minorHAnsi"/>
        </w:rPr>
        <w:t xml:space="preserve">.  </w:t>
      </w:r>
      <w:r w:rsidR="005D4D09" w:rsidRPr="009D008F">
        <w:rPr>
          <w:rFonts w:cstheme="minorHAnsi"/>
        </w:rPr>
        <w:t>However, given the uncertainty over the potential level of long-term imbalance risk, it may be appropriate to provide protection against extreme scenarios through g</w:t>
      </w:r>
      <w:r w:rsidR="00F57ADF" w:rsidRPr="009D008F">
        <w:rPr>
          <w:rFonts w:cstheme="minorHAnsi"/>
        </w:rPr>
        <w:t xml:space="preserve">uaranteeing a </w:t>
      </w:r>
      <w:r w:rsidR="00E12155" w:rsidRPr="009D008F">
        <w:rPr>
          <w:rFonts w:cstheme="minorHAnsi"/>
        </w:rPr>
        <w:t xml:space="preserve">Backstop PPA at </w:t>
      </w:r>
      <w:r w:rsidR="00F57ADF" w:rsidRPr="009D008F">
        <w:rPr>
          <w:rFonts w:cstheme="minorHAnsi"/>
        </w:rPr>
        <w:t>a significant discount</w:t>
      </w:r>
      <w:r w:rsidR="005D4D09" w:rsidRPr="009D008F">
        <w:rPr>
          <w:rFonts w:cstheme="minorHAnsi"/>
        </w:rPr>
        <w:t>, thereby capping the extent of the downside risk</w:t>
      </w:r>
      <w:r w:rsidR="00F57ADF" w:rsidRPr="009D008F">
        <w:rPr>
          <w:rFonts w:cstheme="minorHAnsi"/>
        </w:rPr>
        <w:t>.</w:t>
      </w:r>
    </w:p>
    <w:p w:rsidR="00070CA4" w:rsidRDefault="005D4D09" w:rsidP="00F055BF">
      <w:pPr>
        <w:pStyle w:val="ListParagraph"/>
        <w:numPr>
          <w:ilvl w:val="3"/>
          <w:numId w:val="28"/>
        </w:numPr>
        <w:ind w:left="1134" w:hanging="310"/>
        <w:rPr>
          <w:rFonts w:cstheme="minorHAnsi"/>
        </w:rPr>
      </w:pPr>
      <w:r>
        <w:rPr>
          <w:rFonts w:cstheme="minorHAnsi"/>
        </w:rPr>
        <w:t xml:space="preserve">By </w:t>
      </w:r>
      <w:r w:rsidR="0086492E">
        <w:rPr>
          <w:rFonts w:cstheme="minorHAnsi"/>
        </w:rPr>
        <w:t xml:space="preserve">effectively </w:t>
      </w:r>
      <w:r w:rsidR="00070CA4">
        <w:rPr>
          <w:rFonts w:cstheme="minorHAnsi"/>
        </w:rPr>
        <w:t>capping the level of imbalance costs</w:t>
      </w:r>
      <w:r>
        <w:rPr>
          <w:rFonts w:cstheme="minorHAnsi"/>
        </w:rPr>
        <w:t>,</w:t>
      </w:r>
      <w:r w:rsidR="00070CA4">
        <w:rPr>
          <w:rFonts w:cstheme="minorHAnsi"/>
        </w:rPr>
        <w:t xml:space="preserve"> </w:t>
      </w:r>
      <w:r>
        <w:rPr>
          <w:rFonts w:cstheme="minorHAnsi"/>
        </w:rPr>
        <w:t>the OLR should give comfort to capital providers over the ‘worst case scenario’</w:t>
      </w:r>
      <w:r w:rsidR="00391974">
        <w:rPr>
          <w:rFonts w:cstheme="minorHAnsi"/>
        </w:rPr>
        <w:t>.  This</w:t>
      </w:r>
      <w:r>
        <w:rPr>
          <w:rFonts w:cstheme="minorHAnsi"/>
        </w:rPr>
        <w:t xml:space="preserve"> should </w:t>
      </w:r>
      <w:r w:rsidR="00F055BF">
        <w:rPr>
          <w:rFonts w:cstheme="minorHAnsi"/>
        </w:rPr>
        <w:t xml:space="preserve">give </w:t>
      </w:r>
      <w:r w:rsidR="00070CA4">
        <w:rPr>
          <w:rFonts w:cstheme="minorHAnsi"/>
        </w:rPr>
        <w:t xml:space="preserve">generators </w:t>
      </w:r>
      <w:r w:rsidR="001820B0">
        <w:rPr>
          <w:rFonts w:cstheme="minorHAnsi"/>
        </w:rPr>
        <w:t xml:space="preserve">more potential routes-to-market, including the </w:t>
      </w:r>
      <w:r w:rsidR="00070CA4">
        <w:rPr>
          <w:rFonts w:cstheme="minorHAnsi"/>
        </w:rPr>
        <w:t>adopt</w:t>
      </w:r>
      <w:r w:rsidR="001820B0">
        <w:rPr>
          <w:rFonts w:cstheme="minorHAnsi"/>
        </w:rPr>
        <w:t>ion of</w:t>
      </w:r>
      <w:r w:rsidR="00070CA4">
        <w:rPr>
          <w:rFonts w:cstheme="minorHAnsi"/>
        </w:rPr>
        <w:t xml:space="preserve"> shorter-term contracting strategies</w:t>
      </w:r>
      <w:r w:rsidR="00675FDB">
        <w:rPr>
          <w:rFonts w:cstheme="minorHAnsi"/>
        </w:rPr>
        <w:t xml:space="preserve"> with a wider range of counterparties </w:t>
      </w:r>
      <w:r w:rsidR="00391974">
        <w:rPr>
          <w:rFonts w:cstheme="minorHAnsi"/>
        </w:rPr>
        <w:t>in order</w:t>
      </w:r>
      <w:r w:rsidR="00070CA4">
        <w:rPr>
          <w:rFonts w:cstheme="minorHAnsi"/>
        </w:rPr>
        <w:t xml:space="preserve"> to maximise revenues</w:t>
      </w:r>
      <w:r w:rsidR="00F7702F">
        <w:rPr>
          <w:rFonts w:cstheme="minorHAnsi"/>
        </w:rPr>
        <w:t xml:space="preserve"> and avoid a paying a risk premium</w:t>
      </w:r>
      <w:r>
        <w:rPr>
          <w:rFonts w:cstheme="minorHAnsi"/>
        </w:rPr>
        <w:t xml:space="preserve"> for long-term PPAs (although some generators may still prefer to do this, to reduce the risk to equity providers)</w:t>
      </w:r>
      <w:r w:rsidR="00F7702F">
        <w:rPr>
          <w:rFonts w:cstheme="minorHAnsi"/>
        </w:rPr>
        <w:t>.</w:t>
      </w:r>
    </w:p>
    <w:p w:rsidR="00F7702F" w:rsidRDefault="00F7702F" w:rsidP="002E7615">
      <w:pPr>
        <w:pStyle w:val="ListParagraph"/>
        <w:numPr>
          <w:ilvl w:val="3"/>
          <w:numId w:val="29"/>
        </w:numPr>
        <w:ind w:left="1134" w:hanging="310"/>
        <w:rPr>
          <w:rFonts w:cstheme="minorHAnsi"/>
        </w:rPr>
      </w:pPr>
      <w:r w:rsidRPr="002E7615">
        <w:rPr>
          <w:rFonts w:cstheme="minorHAnsi"/>
          <w:b/>
        </w:rPr>
        <w:t xml:space="preserve">We believe that </w:t>
      </w:r>
      <w:r w:rsidR="00EE6ABE" w:rsidRPr="002E7615">
        <w:rPr>
          <w:rFonts w:cstheme="minorHAnsi"/>
          <w:b/>
        </w:rPr>
        <w:t xml:space="preserve">the </w:t>
      </w:r>
      <w:r w:rsidRPr="002E7615">
        <w:rPr>
          <w:rFonts w:cstheme="minorHAnsi"/>
          <w:b/>
        </w:rPr>
        <w:t xml:space="preserve">OLR </w:t>
      </w:r>
      <w:r w:rsidR="00EE6ABE" w:rsidRPr="002E7615">
        <w:rPr>
          <w:rFonts w:cstheme="minorHAnsi"/>
          <w:b/>
        </w:rPr>
        <w:t xml:space="preserve">mechanism is therefore appropriate for generators </w:t>
      </w:r>
      <w:r w:rsidR="003C1F1D" w:rsidRPr="002E7615">
        <w:rPr>
          <w:rFonts w:cstheme="minorHAnsi"/>
          <w:b/>
        </w:rPr>
        <w:t>who, without the OLR, face an imbalance risk that would require them to take on long-term PPAs in order to secure debt finance</w:t>
      </w:r>
      <w:r w:rsidR="003C1F1D">
        <w:rPr>
          <w:rFonts w:cstheme="minorHAnsi"/>
        </w:rPr>
        <w:t>, because</w:t>
      </w:r>
      <w:r>
        <w:rPr>
          <w:rFonts w:cstheme="minorHAnsi"/>
        </w:rPr>
        <w:t>:</w:t>
      </w:r>
    </w:p>
    <w:p w:rsidR="00E12155" w:rsidRDefault="00FA5905" w:rsidP="00F055BF">
      <w:pPr>
        <w:pStyle w:val="ListParagraph"/>
        <w:numPr>
          <w:ilvl w:val="5"/>
          <w:numId w:val="29"/>
        </w:numPr>
        <w:ind w:left="1701" w:hanging="283"/>
        <w:rPr>
          <w:rFonts w:cstheme="minorHAnsi"/>
        </w:rPr>
      </w:pPr>
      <w:r>
        <w:rPr>
          <w:rFonts w:cstheme="minorHAnsi"/>
        </w:rPr>
        <w:t>L</w:t>
      </w:r>
      <w:r w:rsidR="00E12155" w:rsidRPr="00E12155">
        <w:rPr>
          <w:rFonts w:cstheme="minorHAnsi"/>
        </w:rPr>
        <w:t>ow</w:t>
      </w:r>
      <w:r w:rsidR="007958DB">
        <w:rPr>
          <w:rFonts w:cstheme="minorHAnsi"/>
        </w:rPr>
        <w:t>-</w:t>
      </w:r>
      <w:r w:rsidR="00E12155" w:rsidRPr="00E12155">
        <w:rPr>
          <w:rFonts w:cstheme="minorHAnsi"/>
        </w:rPr>
        <w:t>cost capital providers will not take</w:t>
      </w:r>
      <w:r w:rsidR="00EE6ABE">
        <w:rPr>
          <w:rFonts w:cstheme="minorHAnsi"/>
        </w:rPr>
        <w:t xml:space="preserve"> </w:t>
      </w:r>
      <w:r w:rsidR="003C1F1D">
        <w:rPr>
          <w:rFonts w:cstheme="minorHAnsi"/>
        </w:rPr>
        <w:t>merchant route-to-market risk</w:t>
      </w:r>
      <w:r w:rsidR="00E12155">
        <w:rPr>
          <w:rFonts w:cstheme="minorHAnsi"/>
        </w:rPr>
        <w:t>,</w:t>
      </w:r>
      <w:r w:rsidR="00EE6ABE">
        <w:rPr>
          <w:rFonts w:cstheme="minorHAnsi"/>
        </w:rPr>
        <w:t xml:space="preserve"> which</w:t>
      </w:r>
      <w:r w:rsidR="00E12155">
        <w:rPr>
          <w:rFonts w:cstheme="minorHAnsi"/>
        </w:rPr>
        <w:t xml:space="preserve"> </w:t>
      </w:r>
      <w:r w:rsidR="00E12155" w:rsidRPr="00E12155">
        <w:rPr>
          <w:rFonts w:cstheme="minorHAnsi"/>
        </w:rPr>
        <w:t>reduc</w:t>
      </w:r>
      <w:r>
        <w:rPr>
          <w:rFonts w:cstheme="minorHAnsi"/>
        </w:rPr>
        <w:t>es</w:t>
      </w:r>
      <w:r w:rsidR="00E12155" w:rsidRPr="00E12155">
        <w:rPr>
          <w:rFonts w:cstheme="minorHAnsi"/>
        </w:rPr>
        <w:t xml:space="preserve"> the availability of bankable route</w:t>
      </w:r>
      <w:r w:rsidR="008A1243">
        <w:rPr>
          <w:rFonts w:cstheme="minorHAnsi"/>
        </w:rPr>
        <w:t>s</w:t>
      </w:r>
      <w:r w:rsidR="00E12155" w:rsidRPr="00E12155">
        <w:rPr>
          <w:rFonts w:cstheme="minorHAnsi"/>
        </w:rPr>
        <w:t xml:space="preserve"> to market</w:t>
      </w:r>
      <w:r w:rsidR="00E12155">
        <w:rPr>
          <w:rFonts w:cstheme="minorHAnsi"/>
        </w:rPr>
        <w:t xml:space="preserve"> </w:t>
      </w:r>
      <w:r w:rsidR="00EE6ABE">
        <w:rPr>
          <w:rFonts w:cstheme="minorHAnsi"/>
        </w:rPr>
        <w:t>for such generators</w:t>
      </w:r>
    </w:p>
    <w:p w:rsidR="004B5584" w:rsidRPr="008A1243" w:rsidRDefault="004B5584" w:rsidP="00F055BF">
      <w:pPr>
        <w:pStyle w:val="ListParagraph"/>
        <w:numPr>
          <w:ilvl w:val="5"/>
          <w:numId w:val="29"/>
        </w:numPr>
        <w:ind w:left="1701" w:hanging="283"/>
        <w:rPr>
          <w:rFonts w:cstheme="minorHAnsi"/>
        </w:rPr>
      </w:pPr>
      <w:r>
        <w:rPr>
          <w:rFonts w:cstheme="minorHAnsi"/>
        </w:rPr>
        <w:t xml:space="preserve">The OLR </w:t>
      </w:r>
      <w:r w:rsidRPr="008A1243">
        <w:rPr>
          <w:rFonts w:cstheme="minorHAnsi"/>
        </w:rPr>
        <w:t xml:space="preserve">leaves generators exposed to imbalance </w:t>
      </w:r>
      <w:r w:rsidR="00B42406">
        <w:rPr>
          <w:rFonts w:cstheme="minorHAnsi"/>
        </w:rPr>
        <w:t>costs</w:t>
      </w:r>
      <w:r w:rsidRPr="008A1243">
        <w:rPr>
          <w:rFonts w:cstheme="minorHAnsi"/>
        </w:rPr>
        <w:t>, ensuring suitable siting and operation, yet cap</w:t>
      </w:r>
      <w:r w:rsidR="007958DB">
        <w:rPr>
          <w:rFonts w:cstheme="minorHAnsi"/>
        </w:rPr>
        <w:t>s</w:t>
      </w:r>
      <w:r w:rsidRPr="008A1243">
        <w:rPr>
          <w:rFonts w:cstheme="minorHAnsi"/>
        </w:rPr>
        <w:t xml:space="preserve"> the maximum level of this exposure</w:t>
      </w:r>
    </w:p>
    <w:p w:rsidR="004B5584" w:rsidRPr="008A1243" w:rsidRDefault="00BA0FB9" w:rsidP="00F055BF">
      <w:pPr>
        <w:pStyle w:val="ListParagraph"/>
        <w:numPr>
          <w:ilvl w:val="5"/>
          <w:numId w:val="29"/>
        </w:numPr>
        <w:ind w:left="1701" w:hanging="283"/>
        <w:rPr>
          <w:rFonts w:cstheme="minorHAnsi"/>
        </w:rPr>
      </w:pPr>
      <w:r>
        <w:rPr>
          <w:rFonts w:cstheme="minorHAnsi"/>
        </w:rPr>
        <w:lastRenderedPageBreak/>
        <w:t>By limiting downside losses, t</w:t>
      </w:r>
      <w:r w:rsidR="004B5584">
        <w:rPr>
          <w:rFonts w:cstheme="minorHAnsi"/>
        </w:rPr>
        <w:t>he OLR should make f</w:t>
      </w:r>
      <w:r w:rsidR="004B5584" w:rsidRPr="008A1243">
        <w:rPr>
          <w:rFonts w:cstheme="minorHAnsi"/>
        </w:rPr>
        <w:t>inance</w:t>
      </w:r>
      <w:r w:rsidR="004B5584">
        <w:rPr>
          <w:rFonts w:cstheme="minorHAnsi"/>
        </w:rPr>
        <w:t xml:space="preserve"> provider</w:t>
      </w:r>
      <w:r w:rsidR="00FA5905">
        <w:rPr>
          <w:rFonts w:cstheme="minorHAnsi"/>
        </w:rPr>
        <w:t>s</w:t>
      </w:r>
      <w:r w:rsidR="004B5584" w:rsidRPr="008A1243">
        <w:rPr>
          <w:rFonts w:cstheme="minorHAnsi"/>
        </w:rPr>
        <w:t xml:space="preserve"> </w:t>
      </w:r>
      <w:r w:rsidR="004B5584">
        <w:rPr>
          <w:rFonts w:cstheme="minorHAnsi"/>
        </w:rPr>
        <w:t xml:space="preserve">more </w:t>
      </w:r>
      <w:r w:rsidR="004B5584" w:rsidRPr="008A1243">
        <w:rPr>
          <w:rFonts w:cstheme="minorHAnsi"/>
        </w:rPr>
        <w:t xml:space="preserve">comfortable with </w:t>
      </w:r>
      <w:r w:rsidR="004B5584">
        <w:rPr>
          <w:rFonts w:cstheme="minorHAnsi"/>
        </w:rPr>
        <w:t xml:space="preserve">generators using </w:t>
      </w:r>
      <w:r w:rsidR="004B5584" w:rsidRPr="008A1243">
        <w:rPr>
          <w:rFonts w:cstheme="minorHAnsi"/>
        </w:rPr>
        <w:t>shorter-term contracts</w:t>
      </w:r>
      <w:r w:rsidR="004B5584">
        <w:rPr>
          <w:rFonts w:cstheme="minorHAnsi"/>
        </w:rPr>
        <w:t xml:space="preserve"> and / or a wider range of PPA counterparties</w:t>
      </w:r>
    </w:p>
    <w:p w:rsidR="008A1243" w:rsidRDefault="004B5584" w:rsidP="00F055BF">
      <w:pPr>
        <w:pStyle w:val="ListParagraph"/>
        <w:numPr>
          <w:ilvl w:val="5"/>
          <w:numId w:val="29"/>
        </w:numPr>
        <w:ind w:left="1701" w:hanging="283"/>
        <w:rPr>
          <w:rFonts w:cstheme="minorHAnsi"/>
        </w:rPr>
      </w:pPr>
      <w:r>
        <w:rPr>
          <w:rFonts w:cstheme="minorHAnsi"/>
        </w:rPr>
        <w:t>By using such strategies, generators should be able to reduce the average route</w:t>
      </w:r>
      <w:r w:rsidR="007958DB">
        <w:rPr>
          <w:rFonts w:cstheme="minorHAnsi"/>
        </w:rPr>
        <w:t>-</w:t>
      </w:r>
      <w:r>
        <w:rPr>
          <w:rFonts w:cstheme="minorHAnsi"/>
        </w:rPr>
        <w:t>to</w:t>
      </w:r>
      <w:r w:rsidR="007958DB">
        <w:rPr>
          <w:rFonts w:cstheme="minorHAnsi"/>
        </w:rPr>
        <w:t>-</w:t>
      </w:r>
      <w:r>
        <w:rPr>
          <w:rFonts w:cstheme="minorHAnsi"/>
        </w:rPr>
        <w:t>market costs they face over the term of their CfD</w:t>
      </w:r>
      <w:r w:rsidR="00EE6ABE">
        <w:rPr>
          <w:rFonts w:cstheme="minorHAnsi"/>
        </w:rPr>
        <w:t xml:space="preserve"> (both from increased competition between PPA providers and by being able to avoid paying the risk premium on long-term PPAs, if desired).</w:t>
      </w:r>
    </w:p>
    <w:p w:rsidR="001E4CD1" w:rsidRDefault="001E4CD1" w:rsidP="002E7615">
      <w:pPr>
        <w:pStyle w:val="ListParagraph"/>
        <w:ind w:left="1728"/>
        <w:rPr>
          <w:rFonts w:cstheme="minorHAnsi"/>
          <w:b/>
          <w:i/>
        </w:rPr>
      </w:pPr>
    </w:p>
    <w:p w:rsidR="00F7702F" w:rsidRPr="007D0147" w:rsidRDefault="008859F2" w:rsidP="002E7615">
      <w:pPr>
        <w:pStyle w:val="ListParagraph"/>
        <w:numPr>
          <w:ilvl w:val="3"/>
          <w:numId w:val="14"/>
        </w:numPr>
        <w:ind w:left="1134" w:hanging="425"/>
        <w:rPr>
          <w:rFonts w:cstheme="minorHAnsi"/>
          <w:b/>
          <w:i/>
        </w:rPr>
      </w:pPr>
      <w:r>
        <w:rPr>
          <w:rFonts w:cstheme="minorHAnsi"/>
          <w:b/>
          <w:i/>
        </w:rPr>
        <w:t>Liquidity risk</w:t>
      </w:r>
    </w:p>
    <w:p w:rsidR="00B87484" w:rsidRDefault="00B87484" w:rsidP="00F055BF">
      <w:pPr>
        <w:pStyle w:val="ListParagraph"/>
        <w:numPr>
          <w:ilvl w:val="3"/>
          <w:numId w:val="30"/>
        </w:numPr>
        <w:ind w:left="1134" w:hanging="310"/>
        <w:rPr>
          <w:rFonts w:cstheme="minorHAnsi"/>
        </w:rPr>
      </w:pPr>
      <w:r w:rsidRPr="00B87484">
        <w:rPr>
          <w:rFonts w:cstheme="minorHAnsi"/>
        </w:rPr>
        <w:t>Wholesale market liquidity is an important feature of a competitive market. It provides market participants with a route to market, risk management opportunities and investment and operational signals. A liquid market aid</w:t>
      </w:r>
      <w:r>
        <w:rPr>
          <w:rFonts w:cstheme="minorHAnsi"/>
        </w:rPr>
        <w:t>s</w:t>
      </w:r>
      <w:r w:rsidRPr="00B87484">
        <w:rPr>
          <w:rFonts w:cstheme="minorHAnsi"/>
        </w:rPr>
        <w:t xml:space="preserve"> market entry, improve</w:t>
      </w:r>
      <w:r>
        <w:rPr>
          <w:rFonts w:cstheme="minorHAnsi"/>
        </w:rPr>
        <w:t>s</w:t>
      </w:r>
      <w:r w:rsidRPr="00B87484">
        <w:rPr>
          <w:rFonts w:cstheme="minorHAnsi"/>
        </w:rPr>
        <w:t xml:space="preserve"> competition and increase</w:t>
      </w:r>
      <w:r>
        <w:rPr>
          <w:rFonts w:cstheme="minorHAnsi"/>
        </w:rPr>
        <w:t>s</w:t>
      </w:r>
      <w:r w:rsidRPr="00B87484">
        <w:rPr>
          <w:rFonts w:cstheme="minorHAnsi"/>
        </w:rPr>
        <w:t xml:space="preserve"> the robustness of the CfD reference price</w:t>
      </w:r>
      <w:r>
        <w:rPr>
          <w:rFonts w:cstheme="minorHAnsi"/>
        </w:rPr>
        <w:t>s</w:t>
      </w:r>
      <w:r w:rsidRPr="00B87484">
        <w:rPr>
          <w:rFonts w:cstheme="minorHAnsi"/>
        </w:rPr>
        <w:t xml:space="preserve">. </w:t>
      </w:r>
    </w:p>
    <w:p w:rsidR="00F53041" w:rsidRDefault="00F53041" w:rsidP="00F055BF">
      <w:pPr>
        <w:pStyle w:val="ListParagraph"/>
        <w:numPr>
          <w:ilvl w:val="3"/>
          <w:numId w:val="30"/>
        </w:numPr>
        <w:ind w:left="1134" w:hanging="310"/>
        <w:rPr>
          <w:rFonts w:cstheme="minorHAnsi"/>
        </w:rPr>
      </w:pPr>
      <w:r>
        <w:rPr>
          <w:rFonts w:cstheme="minorHAnsi"/>
        </w:rPr>
        <w:t>The relevance of this risk to CfD-holding generators is different for intermittent and baseload CfDs. The reference price in intermittent CfDs is proposed to be the hourly day-ahead auction price. Since the auction pays the clearing price to all generators who have submitted offers beneath this price, liquidity is not an issue for CfD-holding generators as they can submit un</w:t>
      </w:r>
      <w:r w:rsidR="001820B0">
        <w:rPr>
          <w:rFonts w:cstheme="minorHAnsi"/>
        </w:rPr>
        <w:t>-</w:t>
      </w:r>
      <w:r>
        <w:rPr>
          <w:rFonts w:cstheme="minorHAnsi"/>
        </w:rPr>
        <w:t xml:space="preserve">priced offers and be guaranteed to receive the clearing price. Whilst lack of liquidity could lead to the auction clearing at a lower price than it would have otherwise, this would not impact on CfD-holding generators since they would be topped up to the strike price regardless (apart from in the unlikely circumstances where the clearing price was negative). </w:t>
      </w:r>
    </w:p>
    <w:p w:rsidR="00B87484" w:rsidRPr="0055377B" w:rsidRDefault="00F53041" w:rsidP="00F055BF">
      <w:pPr>
        <w:pStyle w:val="ListParagraph"/>
        <w:numPr>
          <w:ilvl w:val="3"/>
          <w:numId w:val="30"/>
        </w:numPr>
        <w:ind w:left="1134" w:hanging="310"/>
        <w:rPr>
          <w:rFonts w:cstheme="minorHAnsi"/>
        </w:rPr>
      </w:pPr>
      <w:r w:rsidRPr="0055377B">
        <w:rPr>
          <w:rFonts w:cstheme="minorHAnsi"/>
        </w:rPr>
        <w:t>T</w:t>
      </w:r>
      <w:r w:rsidR="00BA0FB9" w:rsidRPr="0055377B">
        <w:rPr>
          <w:rFonts w:cstheme="minorHAnsi"/>
        </w:rPr>
        <w:t xml:space="preserve">he season-ahead </w:t>
      </w:r>
      <w:r w:rsidRPr="0055377B">
        <w:rPr>
          <w:rFonts w:cstheme="minorHAnsi"/>
        </w:rPr>
        <w:t xml:space="preserve">price is proposed </w:t>
      </w:r>
      <w:r w:rsidR="00BA0FB9" w:rsidRPr="0055377B">
        <w:rPr>
          <w:rFonts w:cstheme="minorHAnsi"/>
        </w:rPr>
        <w:t xml:space="preserve">as the reference price </w:t>
      </w:r>
      <w:r w:rsidRPr="0055377B">
        <w:rPr>
          <w:rFonts w:cstheme="minorHAnsi"/>
        </w:rPr>
        <w:t>for baseload CfDs initially,</w:t>
      </w:r>
      <w:r w:rsidR="00BA0FB9" w:rsidRPr="0055377B">
        <w:rPr>
          <w:rFonts w:cstheme="minorHAnsi"/>
        </w:rPr>
        <w:t xml:space="preserve"> moving to the year-ahead market when it has sufficient liquidity.</w:t>
      </w:r>
      <w:r w:rsidRPr="0055377B">
        <w:rPr>
          <w:rFonts w:cstheme="minorHAnsi"/>
        </w:rPr>
        <w:t xml:space="preserve"> Liquidity is a more relevant consideration here, since the</w:t>
      </w:r>
      <w:r w:rsidR="003170CF" w:rsidRPr="0055377B">
        <w:rPr>
          <w:rFonts w:cstheme="minorHAnsi"/>
        </w:rPr>
        <w:t xml:space="preserve"> reference price will be the volume-weighted average price of all trades in the reference markets (the N2Ex UK Power Derivatives Seasonal Contract, and the LEBA UK Power Season Ahead Contract) on a daily basis. Generators are therefore exposed to the risk that the price they achieve is beneath the volume-weighted average price that sets the reference price. This is most likely to occur if the bid-offer spreads are high, which is likely to result from poor liquidity.</w:t>
      </w:r>
      <w:r w:rsidR="00AD31D9" w:rsidRPr="0055377B">
        <w:rPr>
          <w:rFonts w:cstheme="minorHAnsi"/>
        </w:rPr>
        <w:t xml:space="preserve"> There is also the risk that minimum clip size requirements mean smaller generators may have to trade through aggregators or larger suppliers, which will come at a cost.</w:t>
      </w:r>
      <w:r w:rsidR="003170CF" w:rsidRPr="0055377B">
        <w:rPr>
          <w:rFonts w:cstheme="minorHAnsi"/>
        </w:rPr>
        <w:t xml:space="preserve"> </w:t>
      </w:r>
    </w:p>
    <w:p w:rsidR="00FB6642" w:rsidRDefault="00FB6642" w:rsidP="00F055BF">
      <w:pPr>
        <w:pStyle w:val="ListParagraph"/>
        <w:numPr>
          <w:ilvl w:val="3"/>
          <w:numId w:val="30"/>
        </w:numPr>
        <w:ind w:left="1134" w:hanging="310"/>
        <w:rPr>
          <w:rFonts w:cstheme="minorHAnsi"/>
        </w:rPr>
      </w:pPr>
      <w:r>
        <w:rPr>
          <w:rFonts w:cstheme="minorHAnsi"/>
        </w:rPr>
        <w:t xml:space="preserve">There are several mechanisms in place to ensure that </w:t>
      </w:r>
      <w:r w:rsidR="00AD31D9">
        <w:rPr>
          <w:rFonts w:cstheme="minorHAnsi"/>
        </w:rPr>
        <w:t xml:space="preserve">there is sufficient </w:t>
      </w:r>
      <w:r>
        <w:rPr>
          <w:rFonts w:cstheme="minorHAnsi"/>
        </w:rPr>
        <w:t xml:space="preserve">liquidity </w:t>
      </w:r>
      <w:r w:rsidR="00AD31D9">
        <w:rPr>
          <w:rFonts w:cstheme="minorHAnsi"/>
        </w:rPr>
        <w:t>in the reference market for the baseload CfD</w:t>
      </w:r>
      <w:r>
        <w:rPr>
          <w:rFonts w:cstheme="minorHAnsi"/>
        </w:rPr>
        <w:t>:</w:t>
      </w:r>
    </w:p>
    <w:p w:rsidR="00AD31D9" w:rsidRDefault="00AD31D9" w:rsidP="00F055BF">
      <w:pPr>
        <w:pStyle w:val="ListParagraph"/>
        <w:numPr>
          <w:ilvl w:val="5"/>
          <w:numId w:val="14"/>
        </w:numPr>
        <w:ind w:left="1701" w:hanging="283"/>
        <w:rPr>
          <w:rFonts w:cstheme="minorHAnsi"/>
        </w:rPr>
      </w:pPr>
      <w:r>
        <w:rPr>
          <w:rFonts w:cstheme="minorHAnsi"/>
        </w:rPr>
        <w:t>DECC believes that there is currently sufficient liquidity in the season-ahead market such that generators could reasonably expect to achieve the reference price.</w:t>
      </w:r>
    </w:p>
    <w:p w:rsidR="00DE7A45" w:rsidRDefault="00DE7A45" w:rsidP="00F055BF">
      <w:pPr>
        <w:pStyle w:val="ListParagraph"/>
        <w:numPr>
          <w:ilvl w:val="5"/>
          <w:numId w:val="14"/>
        </w:numPr>
        <w:ind w:left="1701" w:hanging="283"/>
        <w:rPr>
          <w:rFonts w:cstheme="minorHAnsi"/>
        </w:rPr>
      </w:pPr>
      <w:r>
        <w:rPr>
          <w:rFonts w:cstheme="minorHAnsi"/>
        </w:rPr>
        <w:t>The CfD itself should drive greater liquidity through generators trading in the reference price market.</w:t>
      </w:r>
    </w:p>
    <w:p w:rsidR="00F54372" w:rsidRDefault="00FB6642" w:rsidP="00F055BF">
      <w:pPr>
        <w:pStyle w:val="ListParagraph"/>
        <w:numPr>
          <w:ilvl w:val="5"/>
          <w:numId w:val="14"/>
        </w:numPr>
        <w:ind w:left="1701" w:hanging="283"/>
        <w:rPr>
          <w:rFonts w:cstheme="minorHAnsi"/>
        </w:rPr>
      </w:pPr>
      <w:r w:rsidRPr="00F54372">
        <w:rPr>
          <w:rFonts w:cstheme="minorHAnsi"/>
        </w:rPr>
        <w:t xml:space="preserve">Ofgem’s ‘Secure and Promote’ proposals include a Market Maker obligation  which will require obligated parties to post bids and offers across different forward products at maximum spreads and clip sizes, with an objective to deliver robust prices along the curve. </w:t>
      </w:r>
      <w:r w:rsidR="00AD31D9">
        <w:rPr>
          <w:rFonts w:cstheme="minorHAnsi"/>
        </w:rPr>
        <w:t xml:space="preserve">This should </w:t>
      </w:r>
      <w:r w:rsidR="00C75D9B">
        <w:rPr>
          <w:rFonts w:cstheme="minorHAnsi"/>
        </w:rPr>
        <w:t xml:space="preserve">further </w:t>
      </w:r>
      <w:r w:rsidR="00AD31D9">
        <w:rPr>
          <w:rFonts w:cstheme="minorHAnsi"/>
        </w:rPr>
        <w:t>increase liquidity in the season</w:t>
      </w:r>
      <w:r w:rsidR="00C75D9B">
        <w:rPr>
          <w:rFonts w:cstheme="minorHAnsi"/>
        </w:rPr>
        <w:t>-</w:t>
      </w:r>
      <w:r w:rsidR="00AD31D9">
        <w:rPr>
          <w:rFonts w:cstheme="minorHAnsi"/>
        </w:rPr>
        <w:t>ahead market.</w:t>
      </w:r>
      <w:r w:rsidRPr="00F54372">
        <w:rPr>
          <w:rFonts w:cstheme="minorHAnsi"/>
        </w:rPr>
        <w:t xml:space="preserve"> </w:t>
      </w:r>
    </w:p>
    <w:p w:rsidR="00FB6642" w:rsidRPr="00F54372" w:rsidRDefault="00FB6642" w:rsidP="00F055BF">
      <w:pPr>
        <w:pStyle w:val="ListParagraph"/>
        <w:numPr>
          <w:ilvl w:val="5"/>
          <w:numId w:val="14"/>
        </w:numPr>
        <w:ind w:left="1701" w:hanging="283"/>
        <w:rPr>
          <w:rFonts w:cstheme="minorHAnsi"/>
        </w:rPr>
      </w:pPr>
      <w:r w:rsidRPr="00F54372">
        <w:rPr>
          <w:rFonts w:cstheme="minorHAnsi"/>
        </w:rPr>
        <w:lastRenderedPageBreak/>
        <w:t xml:space="preserve">DECC </w:t>
      </w:r>
      <w:r w:rsidR="006371DD" w:rsidRPr="00F54372">
        <w:rPr>
          <w:rFonts w:cstheme="minorHAnsi"/>
        </w:rPr>
        <w:t xml:space="preserve">have taken powers in the Energy Bill </w:t>
      </w:r>
      <w:r w:rsidR="00B87484" w:rsidRPr="00F54372">
        <w:rPr>
          <w:rFonts w:cstheme="minorHAnsi"/>
        </w:rPr>
        <w:t xml:space="preserve">that enable the Secretary of State </w:t>
      </w:r>
      <w:r w:rsidR="006371DD" w:rsidRPr="00F54372">
        <w:rPr>
          <w:rFonts w:cstheme="minorHAnsi"/>
        </w:rPr>
        <w:t xml:space="preserve">to </w:t>
      </w:r>
      <w:r w:rsidR="00B87484" w:rsidRPr="00F54372">
        <w:rPr>
          <w:rFonts w:cstheme="minorHAnsi"/>
        </w:rPr>
        <w:t>modify licence conditions in order to promote liquidity</w:t>
      </w:r>
      <w:r w:rsidR="00AD31D9">
        <w:rPr>
          <w:rFonts w:cstheme="minorHAnsi"/>
        </w:rPr>
        <w:t xml:space="preserve">. DECC has stated that it will use these powers </w:t>
      </w:r>
      <w:r w:rsidR="00C75D9B">
        <w:rPr>
          <w:rFonts w:cstheme="minorHAnsi"/>
        </w:rPr>
        <w:t xml:space="preserve">to improve liquidity </w:t>
      </w:r>
      <w:r w:rsidR="00AD31D9">
        <w:rPr>
          <w:rFonts w:cstheme="minorHAnsi"/>
        </w:rPr>
        <w:t>if it is</w:t>
      </w:r>
      <w:r w:rsidR="00C75D9B">
        <w:rPr>
          <w:rFonts w:cstheme="minorHAnsi"/>
        </w:rPr>
        <w:t xml:space="preserve"> believes that Ofgem’s reforms are not having the intended effect.</w:t>
      </w:r>
      <w:r w:rsidR="00AD31D9">
        <w:rPr>
          <w:rFonts w:cstheme="minorHAnsi"/>
        </w:rPr>
        <w:t xml:space="preserve"> </w:t>
      </w:r>
      <w:r w:rsidR="00B87484" w:rsidRPr="00F54372">
        <w:rPr>
          <w:rFonts w:cstheme="minorHAnsi"/>
        </w:rPr>
        <w:t xml:space="preserve"> </w:t>
      </w:r>
    </w:p>
    <w:p w:rsidR="00B87484" w:rsidRPr="00F54372" w:rsidRDefault="00C75D9B" w:rsidP="00F055BF">
      <w:pPr>
        <w:pStyle w:val="ListParagraph"/>
        <w:numPr>
          <w:ilvl w:val="5"/>
          <w:numId w:val="14"/>
        </w:numPr>
        <w:ind w:left="1701" w:hanging="283"/>
        <w:rPr>
          <w:rFonts w:cstheme="minorHAnsi"/>
        </w:rPr>
      </w:pPr>
      <w:r>
        <w:rPr>
          <w:rFonts w:cstheme="minorHAnsi"/>
        </w:rPr>
        <w:t>T</w:t>
      </w:r>
      <w:r w:rsidR="00491B7F">
        <w:rPr>
          <w:rFonts w:cstheme="minorHAnsi"/>
        </w:rPr>
        <w:t xml:space="preserve">he </w:t>
      </w:r>
      <w:r w:rsidR="00F54372">
        <w:rPr>
          <w:rFonts w:cstheme="minorHAnsi"/>
        </w:rPr>
        <w:t>CfD contract will include provisi</w:t>
      </w:r>
      <w:r w:rsidR="00491B7F">
        <w:rPr>
          <w:rFonts w:cstheme="minorHAnsi"/>
        </w:rPr>
        <w:t xml:space="preserve">on </w:t>
      </w:r>
      <w:r>
        <w:rPr>
          <w:rFonts w:cstheme="minorHAnsi"/>
        </w:rPr>
        <w:t xml:space="preserve">for annual reviews of the reference price to ensure it is still appropriate. This will include </w:t>
      </w:r>
      <w:r w:rsidR="00B826AD">
        <w:rPr>
          <w:rFonts w:cstheme="minorHAnsi"/>
        </w:rPr>
        <w:t xml:space="preserve">an </w:t>
      </w:r>
      <w:r>
        <w:rPr>
          <w:rFonts w:cstheme="minorHAnsi"/>
        </w:rPr>
        <w:t>assessment of whether the reference price reflects a price that a generator could reasonably expect to achieve through trading in the market. Generators (and other interested parties) will be able to present evidence to the review process, and dispute whether or not the process has been followed properly. The outcome of such a review could be</w:t>
      </w:r>
      <w:r w:rsidR="00B236D5">
        <w:rPr>
          <w:rFonts w:cstheme="minorHAnsi"/>
        </w:rPr>
        <w:t xml:space="preserve"> to change the reference price to a different product which has adequate liquidity.</w:t>
      </w:r>
      <w:r>
        <w:rPr>
          <w:rFonts w:cstheme="minorHAnsi"/>
        </w:rPr>
        <w:t xml:space="preserve"> </w:t>
      </w:r>
      <w:r w:rsidR="00F54372">
        <w:rPr>
          <w:rFonts w:cstheme="minorHAnsi"/>
        </w:rPr>
        <w:t xml:space="preserve"> </w:t>
      </w:r>
    </w:p>
    <w:p w:rsidR="00B236D5" w:rsidRDefault="00C24537" w:rsidP="00F055BF">
      <w:pPr>
        <w:pStyle w:val="ListParagraph"/>
        <w:numPr>
          <w:ilvl w:val="3"/>
          <w:numId w:val="31"/>
        </w:numPr>
        <w:ind w:left="1134" w:hanging="310"/>
        <w:rPr>
          <w:rFonts w:cstheme="minorHAnsi"/>
        </w:rPr>
      </w:pPr>
      <w:r>
        <w:rPr>
          <w:rFonts w:cstheme="minorHAnsi"/>
        </w:rPr>
        <w:t>Unlike imbalance costs</w:t>
      </w:r>
      <w:r w:rsidR="00B42406">
        <w:rPr>
          <w:rFonts w:cstheme="minorHAnsi"/>
        </w:rPr>
        <w:t xml:space="preserve"> for intermittent generators</w:t>
      </w:r>
      <w:r>
        <w:rPr>
          <w:rFonts w:cstheme="minorHAnsi"/>
        </w:rPr>
        <w:t xml:space="preserve">, </w:t>
      </w:r>
      <w:r w:rsidR="00DE7A45">
        <w:rPr>
          <w:rFonts w:cstheme="minorHAnsi"/>
        </w:rPr>
        <w:t xml:space="preserve">liquidity in the baseload reference price index should improve.  </w:t>
      </w:r>
      <w:r w:rsidR="005D5F22">
        <w:rPr>
          <w:rFonts w:cstheme="minorHAnsi"/>
        </w:rPr>
        <w:t>We</w:t>
      </w:r>
      <w:r w:rsidR="00DE7A45">
        <w:rPr>
          <w:rFonts w:cstheme="minorHAnsi"/>
        </w:rPr>
        <w:t xml:space="preserve"> therefore</w:t>
      </w:r>
      <w:r w:rsidR="005D5F22">
        <w:rPr>
          <w:rFonts w:cstheme="minorHAnsi"/>
        </w:rPr>
        <w:t xml:space="preserve"> believe that these measures should be sufficient to reassure low cost capital providers – and banks in particular – </w:t>
      </w:r>
      <w:r w:rsidR="00B236D5">
        <w:rPr>
          <w:rFonts w:cstheme="minorHAnsi"/>
        </w:rPr>
        <w:t xml:space="preserve">that liquidity is not a material risk under the </w:t>
      </w:r>
      <w:r>
        <w:rPr>
          <w:rFonts w:cstheme="minorHAnsi"/>
        </w:rPr>
        <w:t xml:space="preserve">baseload </w:t>
      </w:r>
      <w:r w:rsidR="00B236D5">
        <w:rPr>
          <w:rFonts w:cstheme="minorHAnsi"/>
        </w:rPr>
        <w:t>CfD</w:t>
      </w:r>
      <w:r w:rsidR="005D5F22">
        <w:rPr>
          <w:rFonts w:cstheme="minorHAnsi"/>
        </w:rPr>
        <w:t xml:space="preserve">, thereby enabling generators to </w:t>
      </w:r>
      <w:r w:rsidR="00B42406">
        <w:rPr>
          <w:rFonts w:cstheme="minorHAnsi"/>
        </w:rPr>
        <w:t xml:space="preserve">avoid long-term PPAs and adopt </w:t>
      </w:r>
      <w:r w:rsidR="005D5F22">
        <w:rPr>
          <w:rFonts w:cstheme="minorHAnsi"/>
        </w:rPr>
        <w:t xml:space="preserve">shorter-term </w:t>
      </w:r>
      <w:r w:rsidR="00B42406">
        <w:rPr>
          <w:rFonts w:cstheme="minorHAnsi"/>
        </w:rPr>
        <w:t>contracting strategies given that their long</w:t>
      </w:r>
      <w:r>
        <w:rPr>
          <w:rFonts w:cstheme="minorHAnsi"/>
        </w:rPr>
        <w:t>-term price risk has been removed by the CfD</w:t>
      </w:r>
      <w:r w:rsidR="00B236D5">
        <w:rPr>
          <w:rFonts w:cstheme="minorHAnsi"/>
        </w:rPr>
        <w:t>.</w:t>
      </w:r>
      <w:r w:rsidR="005D5F22">
        <w:rPr>
          <w:rFonts w:cstheme="minorHAnsi"/>
        </w:rPr>
        <w:t xml:space="preserve"> However, this is a key issue that needs to be tested with the finance community.</w:t>
      </w:r>
    </w:p>
    <w:p w:rsidR="00522B58" w:rsidRPr="00522B58" w:rsidRDefault="00522B58" w:rsidP="00F055BF">
      <w:pPr>
        <w:pStyle w:val="ListParagraph"/>
        <w:numPr>
          <w:ilvl w:val="3"/>
          <w:numId w:val="32"/>
        </w:numPr>
        <w:ind w:left="1134" w:hanging="310"/>
        <w:rPr>
          <w:rFonts w:cstheme="minorHAnsi"/>
        </w:rPr>
      </w:pPr>
      <w:r w:rsidRPr="002E7615">
        <w:rPr>
          <w:rFonts w:cstheme="minorHAnsi"/>
          <w:b/>
        </w:rPr>
        <w:t xml:space="preserve">We therefore believe that </w:t>
      </w:r>
      <w:r w:rsidR="00085AE2" w:rsidRPr="002E7615">
        <w:rPr>
          <w:rFonts w:cstheme="minorHAnsi"/>
          <w:b/>
        </w:rPr>
        <w:t xml:space="preserve">OLR </w:t>
      </w:r>
      <w:r w:rsidR="00B236D5" w:rsidRPr="002E7615">
        <w:rPr>
          <w:rFonts w:cstheme="minorHAnsi"/>
          <w:b/>
        </w:rPr>
        <w:t xml:space="preserve">is </w:t>
      </w:r>
      <w:r w:rsidR="00B236D5" w:rsidRPr="002E7615">
        <w:rPr>
          <w:rFonts w:cstheme="minorHAnsi"/>
          <w:b/>
          <w:i/>
        </w:rPr>
        <w:t>not</w:t>
      </w:r>
      <w:r w:rsidR="00085AE2" w:rsidRPr="002E7615">
        <w:rPr>
          <w:rFonts w:cstheme="minorHAnsi"/>
          <w:b/>
        </w:rPr>
        <w:t xml:space="preserve"> </w:t>
      </w:r>
      <w:r w:rsidR="00B236D5" w:rsidRPr="002E7615">
        <w:rPr>
          <w:rFonts w:cstheme="minorHAnsi"/>
          <w:b/>
        </w:rPr>
        <w:t xml:space="preserve">appropriate for generators where </w:t>
      </w:r>
      <w:r w:rsidR="00085AE2" w:rsidRPr="002E7615">
        <w:rPr>
          <w:rFonts w:cstheme="minorHAnsi"/>
          <w:b/>
        </w:rPr>
        <w:t xml:space="preserve">liquidity </w:t>
      </w:r>
      <w:r w:rsidR="00B236D5" w:rsidRPr="002E7615">
        <w:rPr>
          <w:rFonts w:cstheme="minorHAnsi"/>
          <w:b/>
        </w:rPr>
        <w:t xml:space="preserve">is the main route to market </w:t>
      </w:r>
      <w:r w:rsidR="00085AE2" w:rsidRPr="002E7615">
        <w:rPr>
          <w:rFonts w:cstheme="minorHAnsi"/>
          <w:b/>
        </w:rPr>
        <w:t>risk</w:t>
      </w:r>
      <w:r w:rsidR="00B236D5" w:rsidRPr="002E7615">
        <w:rPr>
          <w:rFonts w:cstheme="minorHAnsi"/>
          <w:b/>
        </w:rPr>
        <w:t xml:space="preserve"> they face</w:t>
      </w:r>
      <w:r w:rsidR="00085AE2" w:rsidRPr="002E7615">
        <w:rPr>
          <w:rFonts w:cstheme="minorHAnsi"/>
          <w:b/>
        </w:rPr>
        <w:t xml:space="preserve"> under the CfD</w:t>
      </w:r>
      <w:r w:rsidR="00085AE2">
        <w:rPr>
          <w:rFonts w:cstheme="minorHAnsi"/>
        </w:rPr>
        <w:t>.</w:t>
      </w:r>
    </w:p>
    <w:p w:rsidR="00D566B1" w:rsidRDefault="00D566B1" w:rsidP="00D566B1">
      <w:pPr>
        <w:pStyle w:val="ListParagraph"/>
        <w:ind w:left="1985"/>
        <w:rPr>
          <w:rFonts w:cstheme="minorHAnsi"/>
        </w:rPr>
      </w:pPr>
    </w:p>
    <w:p w:rsidR="00085AE2" w:rsidRDefault="00085AE2" w:rsidP="00085AE2">
      <w:pPr>
        <w:pStyle w:val="ListParagraph"/>
        <w:ind w:left="0"/>
        <w:rPr>
          <w:rFonts w:cstheme="minorHAnsi"/>
        </w:rPr>
      </w:pPr>
      <w:r>
        <w:rPr>
          <w:noProof/>
          <w:lang w:eastAsia="en-GB"/>
        </w:rPr>
        <mc:AlternateContent>
          <mc:Choice Requires="wps">
            <w:drawing>
              <wp:inline distT="0" distB="0" distL="0" distR="0" wp14:anchorId="7743469A" wp14:editId="6AF884FE">
                <wp:extent cx="5621572" cy="1403985"/>
                <wp:effectExtent l="0" t="0" r="17780" b="22225"/>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1572" cy="1403985"/>
                        </a:xfrm>
                        <a:prstGeom prst="rect">
                          <a:avLst/>
                        </a:prstGeom>
                        <a:solidFill>
                          <a:srgbClr val="FFFFFF"/>
                        </a:solidFill>
                        <a:ln w="9525">
                          <a:solidFill>
                            <a:srgbClr val="000000"/>
                          </a:solidFill>
                          <a:miter lim="800000"/>
                          <a:headEnd/>
                          <a:tailEnd/>
                        </a:ln>
                      </wps:spPr>
                      <wps:txbx>
                        <w:txbxContent>
                          <w:p w:rsidR="00A666A3" w:rsidRDefault="00164CAC" w:rsidP="00B42406">
                            <w:pPr>
                              <w:tabs>
                                <w:tab w:val="left" w:pos="426"/>
                              </w:tabs>
                              <w:ind w:left="426" w:hanging="426"/>
                            </w:pPr>
                            <w:r>
                              <w:t>Q1:</w:t>
                            </w:r>
                            <w:r w:rsidR="00B42406" w:rsidRPr="00B42406">
                              <w:t xml:space="preserve"> </w:t>
                            </w:r>
                            <w:r w:rsidR="00B42406">
                              <w:tab/>
                            </w:r>
                            <w:r w:rsidR="00B42406" w:rsidRPr="00B42406">
                              <w:t xml:space="preserve">Do you agree that eligibility for the OLR should be restricted to those technologies where, without the OLR, their imbalance risk would require them to take on long-term PPAs?  </w:t>
                            </w:r>
                          </w:p>
                          <w:p w:rsidR="005D5F22" w:rsidRDefault="005D5F22" w:rsidP="00CE1DD5">
                            <w:pPr>
                              <w:tabs>
                                <w:tab w:val="left" w:pos="426"/>
                              </w:tabs>
                              <w:ind w:left="426" w:hanging="426"/>
                            </w:pPr>
                            <w:r>
                              <w:t xml:space="preserve">Q2: </w:t>
                            </w:r>
                            <w:r w:rsidR="00CE1DD5">
                              <w:tab/>
                            </w:r>
                            <w:r>
                              <w:t>Do you believe that the measures to ensure liquidity in the baseload CfD reference price will give sufficient comfort to low cost capital providers such that long-term PPAs are not required for such generators?</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8" o:spid="_x0000_s1026" type="#_x0000_t202" style="width:442.65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">
                <v:textbox style="mso-fit-shape-to-text:t">
                  <w:txbxContent>
                    <w:p w:rsidR="00A666A3" w:rsidRDefault="00164CAC" w:rsidP="00B42406">
                      <w:pPr>
                        <w:tabs>
                          <w:tab w:val="left" w:pos="426"/>
                        </w:tabs>
                        <w:ind w:left="426" w:hanging="426"/>
                      </w:pPr>
                      <w:r>
                        <w:t>Q1:</w:t>
                      </w:r>
                      <w:r w:rsidR="00B42406" w:rsidRPr="00B42406">
                        <w:t xml:space="preserve"> </w:t>
                      </w:r>
                      <w:r w:rsidR="00B42406">
                        <w:tab/>
                      </w:r>
                      <w:r w:rsidR="00B42406" w:rsidRPr="00B42406">
                        <w:t xml:space="preserve">Do you agree that eligibility for the OLR should be restricted to those technologies where, without the OLR, their imbalance risk would require them to take on long-term PPAs?  </w:t>
                      </w:r>
                    </w:p>
                    <w:p w:rsidR="005D5F22" w:rsidRDefault="005D5F22" w:rsidP="00CE1DD5">
                      <w:pPr>
                        <w:tabs>
                          <w:tab w:val="left" w:pos="426"/>
                        </w:tabs>
                        <w:ind w:left="426" w:hanging="426"/>
                      </w:pPr>
                      <w:r>
                        <w:t xml:space="preserve">Q2: </w:t>
                      </w:r>
                      <w:r w:rsidR="00CE1DD5">
                        <w:tab/>
                      </w:r>
                      <w:r>
                        <w:t>Do you believe that the measures to ensure liquidity in the baseload CfD reference price will give sufficient comfort to low cost capital providers such that long-term PPAs are not required for such generators?</w:t>
                      </w:r>
                    </w:p>
                  </w:txbxContent>
                </v:textbox>
                <w10:anchorlock/>
              </v:shape>
            </w:pict>
          </mc:Fallback>
        </mc:AlternateContent>
      </w:r>
    </w:p>
    <w:p w:rsidR="008270E0" w:rsidRPr="008270E0" w:rsidRDefault="008270E0" w:rsidP="008270E0">
      <w:pPr>
        <w:pStyle w:val="ListParagraph"/>
        <w:ind w:left="1224"/>
        <w:contextualSpacing w:val="0"/>
        <w:rPr>
          <w:rFonts w:cstheme="minorHAnsi"/>
        </w:rPr>
      </w:pPr>
    </w:p>
    <w:p w:rsidR="00085AE2" w:rsidRPr="007B1FD8" w:rsidRDefault="00085AE2" w:rsidP="00A666A3">
      <w:pPr>
        <w:pStyle w:val="ListParagraph"/>
        <w:keepNext/>
        <w:numPr>
          <w:ilvl w:val="2"/>
          <w:numId w:val="14"/>
        </w:numPr>
        <w:ind w:left="1225" w:hanging="505"/>
        <w:contextualSpacing w:val="0"/>
        <w:rPr>
          <w:rFonts w:cstheme="minorHAnsi"/>
        </w:rPr>
      </w:pPr>
      <w:r>
        <w:rPr>
          <w:rFonts w:cstheme="minorHAnsi"/>
          <w:b/>
        </w:rPr>
        <w:t>Technological Maturity</w:t>
      </w:r>
    </w:p>
    <w:p w:rsidR="00085AE2" w:rsidRDefault="00085AE2" w:rsidP="002E7615">
      <w:pPr>
        <w:pStyle w:val="ListParagraph"/>
        <w:numPr>
          <w:ilvl w:val="3"/>
          <w:numId w:val="33"/>
        </w:numPr>
        <w:spacing w:after="0"/>
        <w:ind w:left="1134" w:hanging="312"/>
        <w:contextualSpacing w:val="0"/>
        <w:rPr>
          <w:rFonts w:cstheme="minorHAnsi"/>
        </w:rPr>
      </w:pPr>
      <w:r>
        <w:rPr>
          <w:rFonts w:cstheme="minorHAnsi"/>
        </w:rPr>
        <w:t xml:space="preserve">A key issue in designing the OLR will be setting the discount to the market reference price within </w:t>
      </w:r>
      <w:r w:rsidR="00383BF3">
        <w:rPr>
          <w:rFonts w:cstheme="minorHAnsi"/>
        </w:rPr>
        <w:t>the Backstop PPA.</w:t>
      </w:r>
      <w:r w:rsidR="00DB72F4">
        <w:rPr>
          <w:rFonts w:cstheme="minorHAnsi"/>
        </w:rPr>
        <w:t xml:space="preserve">  To ensure </w:t>
      </w:r>
      <w:r w:rsidR="00374930">
        <w:rPr>
          <w:rFonts w:cstheme="minorHAnsi"/>
        </w:rPr>
        <w:t>it remains a ‘last resort’ mechanism, it is important that the discount in backstop PPAs is larger than the discounts likely to be available in the market.</w:t>
      </w:r>
      <w:r w:rsidR="00383BF3">
        <w:rPr>
          <w:rFonts w:cstheme="minorHAnsi"/>
        </w:rPr>
        <w:t xml:space="preserve">  It is </w:t>
      </w:r>
      <w:r w:rsidR="00374930">
        <w:rPr>
          <w:rFonts w:cstheme="minorHAnsi"/>
        </w:rPr>
        <w:t xml:space="preserve">therefore </w:t>
      </w:r>
      <w:r w:rsidR="00383BF3">
        <w:rPr>
          <w:rFonts w:cstheme="minorHAnsi"/>
        </w:rPr>
        <w:t xml:space="preserve">likely </w:t>
      </w:r>
      <w:r>
        <w:rPr>
          <w:rFonts w:cstheme="minorHAnsi"/>
        </w:rPr>
        <w:t xml:space="preserve">that the discount will </w:t>
      </w:r>
      <w:r w:rsidR="00374930">
        <w:rPr>
          <w:rFonts w:cstheme="minorHAnsi"/>
        </w:rPr>
        <w:t xml:space="preserve">need to </w:t>
      </w:r>
      <w:r>
        <w:rPr>
          <w:rFonts w:cstheme="minorHAnsi"/>
        </w:rPr>
        <w:t xml:space="preserve">be different for different technologies, reflecting </w:t>
      </w:r>
      <w:r w:rsidR="00374930">
        <w:rPr>
          <w:rFonts w:cstheme="minorHAnsi"/>
        </w:rPr>
        <w:t xml:space="preserve">variation in </w:t>
      </w:r>
      <w:r>
        <w:rPr>
          <w:rFonts w:cstheme="minorHAnsi"/>
        </w:rPr>
        <w:t xml:space="preserve">the </w:t>
      </w:r>
      <w:r w:rsidR="00DB72F4">
        <w:rPr>
          <w:rFonts w:cstheme="minorHAnsi"/>
        </w:rPr>
        <w:t xml:space="preserve">magnitude </w:t>
      </w:r>
      <w:r w:rsidR="00383BF3">
        <w:rPr>
          <w:rFonts w:cstheme="minorHAnsi"/>
        </w:rPr>
        <w:t xml:space="preserve">of the risks faced.  </w:t>
      </w:r>
    </w:p>
    <w:p w:rsidR="00383BF3" w:rsidRDefault="00383BF3" w:rsidP="002E7615">
      <w:pPr>
        <w:pStyle w:val="ListParagraph"/>
        <w:numPr>
          <w:ilvl w:val="3"/>
          <w:numId w:val="33"/>
        </w:numPr>
        <w:spacing w:after="0"/>
        <w:ind w:left="1134" w:hanging="312"/>
        <w:contextualSpacing w:val="0"/>
        <w:rPr>
          <w:rFonts w:cstheme="minorHAnsi"/>
        </w:rPr>
      </w:pPr>
      <w:r>
        <w:rPr>
          <w:rFonts w:cstheme="minorHAnsi"/>
        </w:rPr>
        <w:t>For mature technologies, there is likely to be sufficient data and information upon which an appropriate level of discount can be deduced.  However, for nascent technologies</w:t>
      </w:r>
      <w:r w:rsidR="00374930">
        <w:rPr>
          <w:rFonts w:cstheme="minorHAnsi"/>
        </w:rPr>
        <w:t xml:space="preserve"> route to market</w:t>
      </w:r>
      <w:r>
        <w:rPr>
          <w:rFonts w:cstheme="minorHAnsi"/>
        </w:rPr>
        <w:t xml:space="preserve"> costs </w:t>
      </w:r>
      <w:r w:rsidR="00374930">
        <w:rPr>
          <w:rFonts w:cstheme="minorHAnsi"/>
        </w:rPr>
        <w:t xml:space="preserve">and risks </w:t>
      </w:r>
      <w:r>
        <w:rPr>
          <w:rFonts w:cstheme="minorHAnsi"/>
        </w:rPr>
        <w:t xml:space="preserve">are inherently uncertain.  </w:t>
      </w:r>
      <w:r w:rsidR="00374930">
        <w:rPr>
          <w:rFonts w:cstheme="minorHAnsi"/>
        </w:rPr>
        <w:t xml:space="preserve">Furthermore, early </w:t>
      </w:r>
      <w:r>
        <w:rPr>
          <w:rFonts w:cstheme="minorHAnsi"/>
        </w:rPr>
        <w:t xml:space="preserve">projects are unlikely to be funded through low-cost capital, </w:t>
      </w:r>
      <w:r w:rsidR="00374930">
        <w:rPr>
          <w:rFonts w:cstheme="minorHAnsi"/>
        </w:rPr>
        <w:t>so such projects are unlikely to require long-term PPAs in any case</w:t>
      </w:r>
      <w:r>
        <w:rPr>
          <w:rFonts w:cstheme="minorHAnsi"/>
        </w:rPr>
        <w:t>.</w:t>
      </w:r>
    </w:p>
    <w:p w:rsidR="00383BF3" w:rsidRDefault="00383BF3" w:rsidP="002E7615">
      <w:pPr>
        <w:pStyle w:val="ListParagraph"/>
        <w:numPr>
          <w:ilvl w:val="3"/>
          <w:numId w:val="33"/>
        </w:numPr>
        <w:spacing w:after="0"/>
        <w:ind w:left="1134" w:hanging="312"/>
        <w:contextualSpacing w:val="0"/>
        <w:rPr>
          <w:rFonts w:cstheme="minorHAnsi"/>
        </w:rPr>
      </w:pPr>
      <w:r>
        <w:rPr>
          <w:rFonts w:cstheme="minorHAnsi"/>
        </w:rPr>
        <w:t xml:space="preserve">For this reason, </w:t>
      </w:r>
      <w:r w:rsidRPr="004B30C4">
        <w:rPr>
          <w:rFonts w:cstheme="minorHAnsi"/>
          <w:b/>
        </w:rPr>
        <w:t>we propose that nascent technologies are excluded from the OLR</w:t>
      </w:r>
      <w:r>
        <w:rPr>
          <w:rFonts w:cstheme="minorHAnsi"/>
        </w:rPr>
        <w:t xml:space="preserve"> until deployment levels are sufficient to </w:t>
      </w:r>
      <w:r w:rsidR="00374930">
        <w:rPr>
          <w:rFonts w:cstheme="minorHAnsi"/>
        </w:rPr>
        <w:t xml:space="preserve">allow </w:t>
      </w:r>
      <w:r>
        <w:rPr>
          <w:rFonts w:cstheme="minorHAnsi"/>
        </w:rPr>
        <w:t>an appropriate discount</w:t>
      </w:r>
      <w:r w:rsidR="00374930">
        <w:rPr>
          <w:rFonts w:cstheme="minorHAnsi"/>
        </w:rPr>
        <w:t xml:space="preserve"> to be set</w:t>
      </w:r>
      <w:r>
        <w:rPr>
          <w:rFonts w:cstheme="minorHAnsi"/>
        </w:rPr>
        <w:t>, and low-cost capital providers are interested in investing</w:t>
      </w:r>
      <w:r w:rsidR="00374930">
        <w:rPr>
          <w:rFonts w:cstheme="minorHAnsi"/>
        </w:rPr>
        <w:t xml:space="preserve"> in such projects</w:t>
      </w:r>
      <w:r>
        <w:rPr>
          <w:rFonts w:cstheme="minorHAnsi"/>
        </w:rPr>
        <w:t xml:space="preserve">. </w:t>
      </w:r>
    </w:p>
    <w:p w:rsidR="001E4CD1" w:rsidRDefault="001E4CD1" w:rsidP="002E7615">
      <w:pPr>
        <w:pStyle w:val="ListParagraph"/>
        <w:spacing w:after="0"/>
        <w:ind w:left="1730"/>
        <w:contextualSpacing w:val="0"/>
        <w:rPr>
          <w:rFonts w:cstheme="minorHAnsi"/>
        </w:rPr>
      </w:pPr>
    </w:p>
    <w:p w:rsidR="00E467EE" w:rsidRPr="004B30C4" w:rsidRDefault="008270E0" w:rsidP="0021355D">
      <w:pPr>
        <w:pStyle w:val="ListParagraph"/>
        <w:numPr>
          <w:ilvl w:val="1"/>
          <w:numId w:val="14"/>
        </w:numPr>
        <w:ind w:left="426"/>
        <w:contextualSpacing w:val="0"/>
        <w:rPr>
          <w:rFonts w:cstheme="minorHAnsi"/>
          <w:b/>
        </w:rPr>
      </w:pPr>
      <w:r w:rsidRPr="007B1FD8">
        <w:rPr>
          <w:rFonts w:cstheme="minorHAnsi"/>
        </w:rPr>
        <w:t xml:space="preserve">Table 1 sets out our view on technological eligibility based on the assessment of appropriate market risks for the OLR to address, </w:t>
      </w:r>
      <w:r w:rsidR="00DE7A45">
        <w:rPr>
          <w:rFonts w:cstheme="minorHAnsi"/>
        </w:rPr>
        <w:t xml:space="preserve">the materiality of those risks, </w:t>
      </w:r>
      <w:r w:rsidRPr="007B1FD8">
        <w:rPr>
          <w:rFonts w:cstheme="minorHAnsi"/>
        </w:rPr>
        <w:t xml:space="preserve">and the appropriateness of coverage based on technological maturity.  </w:t>
      </w:r>
      <w:r w:rsidRPr="004B30C4">
        <w:rPr>
          <w:rFonts w:cstheme="minorHAnsi"/>
          <w:b/>
        </w:rPr>
        <w:t xml:space="preserve">The criteria would see eligibility restricted to wind </w:t>
      </w:r>
      <w:r w:rsidR="00DE7A45" w:rsidRPr="004B30C4">
        <w:rPr>
          <w:rFonts w:cstheme="minorHAnsi"/>
          <w:b/>
        </w:rPr>
        <w:t>generators</w:t>
      </w:r>
      <w:r w:rsidRPr="004B30C4">
        <w:rPr>
          <w:rFonts w:cstheme="minorHAnsi"/>
          <w:b/>
        </w:rPr>
        <w:t>.</w:t>
      </w:r>
    </w:p>
    <w:p w:rsidR="001A7721" w:rsidRPr="00A666A3" w:rsidRDefault="001A7721" w:rsidP="001A7721">
      <w:pPr>
        <w:pStyle w:val="Caption"/>
        <w:keepNext/>
        <w:rPr>
          <w:b w:val="0"/>
        </w:rPr>
      </w:pPr>
      <w:proofErr w:type="gramStart"/>
      <w:r>
        <w:t xml:space="preserve">Table </w:t>
      </w:r>
      <w:fldSimple w:instr=" SEQ Table \* ARABIC ">
        <w:r>
          <w:rPr>
            <w:noProof/>
          </w:rPr>
          <w:t>1</w:t>
        </w:r>
      </w:fldSimple>
      <w:r>
        <w:t xml:space="preserve"> – Assessment of technologies against imbalance risk, maturity, and resultant appropriateness for the OLR.</w:t>
      </w:r>
      <w:proofErr w:type="gramEnd"/>
      <w:r>
        <w:t xml:space="preserve"> </w:t>
      </w:r>
      <w:r w:rsidRPr="00A666A3">
        <w:t xml:space="preserve">Colour indicates whether question is answered positively or negatively </w:t>
      </w:r>
      <w:r w:rsidRPr="00A666A3">
        <w:rPr>
          <w:b w:val="0"/>
        </w:rPr>
        <w:t>(green = positive; pink = negative)</w:t>
      </w:r>
    </w:p>
    <w:tbl>
      <w:tblPr>
        <w:tblStyle w:val="TableGrid"/>
        <w:tblW w:w="1116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304"/>
        <w:gridCol w:w="2693"/>
        <w:gridCol w:w="1701"/>
        <w:gridCol w:w="1560"/>
        <w:gridCol w:w="2126"/>
        <w:gridCol w:w="1777"/>
      </w:tblGrid>
      <w:tr w:rsidR="0021355D" w:rsidRPr="00C849E1" w:rsidTr="00B54066">
        <w:trPr>
          <w:gridAfter w:val="1"/>
          <w:wAfter w:w="1777" w:type="dxa"/>
          <w:trHeight w:val="556"/>
        </w:trPr>
        <w:tc>
          <w:tcPr>
            <w:tcW w:w="1304" w:type="dxa"/>
            <w:tcBorders>
              <w:top w:val="single" w:sz="4" w:space="0" w:color="auto"/>
            </w:tcBorders>
            <w:tcMar>
              <w:left w:w="28" w:type="dxa"/>
              <w:right w:w="28" w:type="dxa"/>
            </w:tcMar>
          </w:tcPr>
          <w:p w:rsidR="0021355D" w:rsidRPr="00C849E1" w:rsidRDefault="0021355D" w:rsidP="00B54066">
            <w:pPr>
              <w:suppressAutoHyphens/>
              <w:spacing w:after="40" w:line="260" w:lineRule="exact"/>
              <w:jc w:val="center"/>
              <w:rPr>
                <w:rFonts w:cstheme="minorHAnsi"/>
                <w:b/>
                <w:sz w:val="20"/>
                <w:szCs w:val="20"/>
              </w:rPr>
            </w:pPr>
            <w:r w:rsidRPr="00C849E1">
              <w:rPr>
                <w:rFonts w:cstheme="minorHAnsi"/>
                <w:b/>
                <w:sz w:val="20"/>
                <w:szCs w:val="20"/>
              </w:rPr>
              <w:t>Technology</w:t>
            </w:r>
          </w:p>
        </w:tc>
        <w:tc>
          <w:tcPr>
            <w:tcW w:w="2693" w:type="dxa"/>
            <w:tcBorders>
              <w:top w:val="single" w:sz="4" w:space="0" w:color="auto"/>
            </w:tcBorders>
            <w:tcMar>
              <w:left w:w="28" w:type="dxa"/>
              <w:right w:w="28" w:type="dxa"/>
            </w:tcMar>
          </w:tcPr>
          <w:p w:rsidR="0021355D" w:rsidRPr="00C849E1" w:rsidRDefault="0021355D" w:rsidP="00B54066">
            <w:pPr>
              <w:suppressAutoHyphens/>
              <w:spacing w:after="40" w:line="260" w:lineRule="exact"/>
              <w:jc w:val="center"/>
              <w:rPr>
                <w:rFonts w:cstheme="minorHAnsi"/>
                <w:b/>
                <w:sz w:val="20"/>
                <w:szCs w:val="20"/>
              </w:rPr>
            </w:pPr>
            <w:r>
              <w:rPr>
                <w:rFonts w:cstheme="minorHAnsi"/>
                <w:b/>
                <w:i/>
                <w:sz w:val="20"/>
                <w:szCs w:val="20"/>
              </w:rPr>
              <w:t>Significant imbalance risk that could increase over time</w:t>
            </w:r>
            <w:r w:rsidRPr="00C849E1">
              <w:rPr>
                <w:rFonts w:cstheme="minorHAnsi"/>
                <w:b/>
                <w:i/>
                <w:sz w:val="20"/>
                <w:szCs w:val="20"/>
              </w:rPr>
              <w:t>?</w:t>
            </w:r>
          </w:p>
        </w:tc>
        <w:tc>
          <w:tcPr>
            <w:tcW w:w="1701" w:type="dxa"/>
            <w:tcBorders>
              <w:top w:val="single" w:sz="4" w:space="0" w:color="auto"/>
            </w:tcBorders>
          </w:tcPr>
          <w:p w:rsidR="0021355D" w:rsidRDefault="0021355D" w:rsidP="00B54066">
            <w:pPr>
              <w:suppressAutoHyphens/>
              <w:spacing w:after="40" w:line="260" w:lineRule="exact"/>
              <w:jc w:val="center"/>
              <w:rPr>
                <w:rFonts w:cstheme="minorHAnsi"/>
                <w:b/>
                <w:i/>
                <w:sz w:val="20"/>
                <w:szCs w:val="20"/>
              </w:rPr>
            </w:pPr>
            <w:r>
              <w:rPr>
                <w:rFonts w:cstheme="minorHAnsi"/>
                <w:b/>
                <w:i/>
                <w:sz w:val="20"/>
                <w:szCs w:val="20"/>
              </w:rPr>
              <w:t>Requires long-term PPA to mitigate imbalance risk?</w:t>
            </w:r>
          </w:p>
        </w:tc>
        <w:tc>
          <w:tcPr>
            <w:tcW w:w="1560" w:type="dxa"/>
            <w:tcBorders>
              <w:top w:val="single" w:sz="4" w:space="0" w:color="auto"/>
            </w:tcBorders>
          </w:tcPr>
          <w:p w:rsidR="0021355D" w:rsidRPr="00C849E1" w:rsidRDefault="0021355D" w:rsidP="00B54066">
            <w:pPr>
              <w:suppressAutoHyphens/>
              <w:spacing w:after="40" w:line="260" w:lineRule="exact"/>
              <w:jc w:val="center"/>
              <w:rPr>
                <w:rFonts w:cstheme="minorHAnsi"/>
                <w:b/>
                <w:sz w:val="20"/>
                <w:szCs w:val="20"/>
              </w:rPr>
            </w:pPr>
            <w:r>
              <w:rPr>
                <w:rFonts w:cstheme="minorHAnsi"/>
                <w:b/>
                <w:i/>
                <w:sz w:val="20"/>
                <w:szCs w:val="20"/>
              </w:rPr>
              <w:t>Mature technology</w:t>
            </w:r>
            <w:r>
              <w:rPr>
                <w:rStyle w:val="FootnoteReference"/>
                <w:rFonts w:cstheme="minorHAnsi"/>
                <w:b/>
                <w:i/>
                <w:sz w:val="20"/>
                <w:szCs w:val="20"/>
              </w:rPr>
              <w:footnoteReference w:id="2"/>
            </w:r>
            <w:r>
              <w:rPr>
                <w:rFonts w:cstheme="minorHAnsi"/>
                <w:b/>
                <w:i/>
                <w:sz w:val="20"/>
                <w:szCs w:val="20"/>
              </w:rPr>
              <w:t>?</w:t>
            </w:r>
          </w:p>
        </w:tc>
        <w:tc>
          <w:tcPr>
            <w:tcW w:w="2126" w:type="dxa"/>
            <w:tcBorders>
              <w:top w:val="single" w:sz="4" w:space="0" w:color="auto"/>
            </w:tcBorders>
            <w:tcMar>
              <w:left w:w="28" w:type="dxa"/>
              <w:right w:w="28" w:type="dxa"/>
            </w:tcMar>
          </w:tcPr>
          <w:p w:rsidR="0021355D" w:rsidRPr="00A666A3" w:rsidRDefault="0021355D" w:rsidP="00B54066">
            <w:pPr>
              <w:suppressAutoHyphens/>
              <w:spacing w:after="40" w:line="260" w:lineRule="exact"/>
              <w:jc w:val="center"/>
              <w:rPr>
                <w:rFonts w:cstheme="minorHAnsi"/>
                <w:b/>
                <w:i/>
                <w:sz w:val="20"/>
                <w:szCs w:val="20"/>
              </w:rPr>
            </w:pPr>
            <w:r w:rsidRPr="00A666A3">
              <w:rPr>
                <w:rFonts w:cstheme="minorHAnsi"/>
                <w:b/>
                <w:i/>
                <w:sz w:val="20"/>
                <w:szCs w:val="20"/>
              </w:rPr>
              <w:t>Is OLR an appropriate solution?</w:t>
            </w:r>
          </w:p>
        </w:tc>
      </w:tr>
      <w:tr w:rsidR="0021355D" w:rsidRPr="00C849E1" w:rsidTr="00B54066">
        <w:trPr>
          <w:gridAfter w:val="1"/>
          <w:wAfter w:w="1777" w:type="dxa"/>
        </w:trPr>
        <w:tc>
          <w:tcPr>
            <w:tcW w:w="1304" w:type="dxa"/>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Onshore Wind (</w:t>
            </w:r>
            <w:r>
              <w:rPr>
                <w:rFonts w:cstheme="minorHAnsi"/>
                <w:sz w:val="20"/>
                <w:szCs w:val="20"/>
              </w:rPr>
              <w:t>smaller</w:t>
            </w:r>
            <w:r w:rsidRPr="00C849E1">
              <w:rPr>
                <w:rFonts w:cstheme="minorHAnsi"/>
                <w:sz w:val="20"/>
                <w:szCs w:val="20"/>
              </w:rPr>
              <w:t>)</w:t>
            </w:r>
          </w:p>
        </w:tc>
        <w:tc>
          <w:tcPr>
            <w:tcW w:w="2693" w:type="dxa"/>
            <w:vMerge w:val="restart"/>
            <w:shd w:val="clear" w:color="auto" w:fill="76923C" w:themeFill="accent3" w:themeFillShade="BF"/>
            <w:tcMar>
              <w:left w:w="28" w:type="dxa"/>
              <w:right w:w="28" w:type="dxa"/>
            </w:tcMar>
            <w:vAlign w:val="cente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Risk</w:t>
            </w:r>
            <w:r>
              <w:rPr>
                <w:rFonts w:cstheme="minorHAnsi"/>
                <w:sz w:val="20"/>
                <w:szCs w:val="20"/>
              </w:rPr>
              <w:t xml:space="preserve"> of significant increase in</w:t>
            </w:r>
            <w:r w:rsidRPr="00C849E1">
              <w:rPr>
                <w:rFonts w:cstheme="minorHAnsi"/>
                <w:sz w:val="20"/>
                <w:szCs w:val="20"/>
              </w:rPr>
              <w:t xml:space="preserve"> imbalance costs </w:t>
            </w:r>
            <w:r>
              <w:rPr>
                <w:rFonts w:cstheme="minorHAnsi"/>
                <w:sz w:val="20"/>
                <w:szCs w:val="20"/>
              </w:rPr>
              <w:t xml:space="preserve">as wind output increasingly drives </w:t>
            </w:r>
            <w:r w:rsidRPr="00C849E1">
              <w:rPr>
                <w:rFonts w:cstheme="minorHAnsi"/>
                <w:sz w:val="20"/>
                <w:szCs w:val="20"/>
              </w:rPr>
              <w:t>more volatile cash out prices</w:t>
            </w:r>
            <w:r>
              <w:rPr>
                <w:rFonts w:cstheme="minorHAnsi"/>
                <w:sz w:val="20"/>
                <w:szCs w:val="20"/>
              </w:rPr>
              <w:t>, which wind generators are disproportionately exposed to</w:t>
            </w:r>
            <w:r w:rsidRPr="00C849E1">
              <w:rPr>
                <w:rFonts w:cstheme="minorHAnsi"/>
                <w:sz w:val="20"/>
                <w:szCs w:val="20"/>
              </w:rPr>
              <w:t xml:space="preserve">.  </w:t>
            </w:r>
          </w:p>
        </w:tc>
        <w:tc>
          <w:tcPr>
            <w:tcW w:w="1701" w:type="dxa"/>
            <w:shd w:val="clear" w:color="auto" w:fill="76923C" w:themeFill="accent3" w:themeFillShade="BF"/>
          </w:tcPr>
          <w:p w:rsidR="0021355D" w:rsidRDefault="0021355D" w:rsidP="00B54066">
            <w:pPr>
              <w:suppressAutoHyphens/>
              <w:spacing w:after="40" w:line="260" w:lineRule="exact"/>
              <w:rPr>
                <w:rFonts w:cstheme="minorHAnsi"/>
                <w:sz w:val="20"/>
                <w:szCs w:val="20"/>
              </w:rPr>
            </w:pPr>
            <w:r>
              <w:rPr>
                <w:rFonts w:cstheme="minorHAnsi"/>
                <w:sz w:val="20"/>
                <w:szCs w:val="20"/>
              </w:rPr>
              <w:t>Yes</w:t>
            </w:r>
          </w:p>
        </w:tc>
        <w:tc>
          <w:tcPr>
            <w:tcW w:w="1560" w:type="dxa"/>
            <w:shd w:val="clear" w:color="auto" w:fill="76923C" w:themeFill="accent3" w:themeFillShade="BF"/>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Yes</w:t>
            </w:r>
          </w:p>
        </w:tc>
        <w:tc>
          <w:tcPr>
            <w:tcW w:w="2126" w:type="dxa"/>
            <w:shd w:val="clear" w:color="auto" w:fill="76923C" w:themeFill="accent3" w:themeFillShade="BF"/>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Yes</w:t>
            </w:r>
          </w:p>
        </w:tc>
      </w:tr>
      <w:tr w:rsidR="0021355D" w:rsidRPr="00C849E1" w:rsidTr="00B54066">
        <w:trPr>
          <w:gridAfter w:val="1"/>
          <w:wAfter w:w="1777" w:type="dxa"/>
        </w:trPr>
        <w:tc>
          <w:tcPr>
            <w:tcW w:w="1304" w:type="dxa"/>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Onshore Wind (</w:t>
            </w:r>
            <w:r>
              <w:rPr>
                <w:rFonts w:cstheme="minorHAnsi"/>
                <w:sz w:val="20"/>
                <w:szCs w:val="20"/>
              </w:rPr>
              <w:t>larger</w:t>
            </w:r>
            <w:r w:rsidRPr="00C849E1">
              <w:rPr>
                <w:rFonts w:cstheme="minorHAnsi"/>
                <w:sz w:val="20"/>
                <w:szCs w:val="20"/>
              </w:rPr>
              <w:t>)</w:t>
            </w:r>
          </w:p>
        </w:tc>
        <w:tc>
          <w:tcPr>
            <w:tcW w:w="2693" w:type="dxa"/>
            <w:vMerge/>
            <w:shd w:val="clear" w:color="auto" w:fill="76923C" w:themeFill="accent3" w:themeFillShade="BF"/>
            <w:tcMar>
              <w:left w:w="28" w:type="dxa"/>
              <w:right w:w="28" w:type="dxa"/>
            </w:tcMar>
          </w:tcPr>
          <w:p w:rsidR="0021355D" w:rsidRPr="00C849E1" w:rsidRDefault="0021355D" w:rsidP="00B54066">
            <w:pPr>
              <w:suppressAutoHyphens/>
              <w:spacing w:after="40" w:line="260" w:lineRule="exact"/>
              <w:rPr>
                <w:rFonts w:cstheme="minorHAnsi"/>
                <w:sz w:val="20"/>
                <w:szCs w:val="20"/>
              </w:rPr>
            </w:pPr>
          </w:p>
        </w:tc>
        <w:tc>
          <w:tcPr>
            <w:tcW w:w="1701" w:type="dxa"/>
            <w:shd w:val="clear" w:color="auto" w:fill="76923C" w:themeFill="accent3" w:themeFillShade="BF"/>
          </w:tcPr>
          <w:p w:rsidR="0021355D" w:rsidRDefault="0021355D" w:rsidP="00B54066">
            <w:pPr>
              <w:suppressAutoHyphens/>
              <w:spacing w:after="40" w:line="260" w:lineRule="exact"/>
              <w:rPr>
                <w:rFonts w:cstheme="minorHAnsi"/>
                <w:sz w:val="20"/>
                <w:szCs w:val="20"/>
              </w:rPr>
            </w:pPr>
            <w:r>
              <w:rPr>
                <w:rFonts w:cstheme="minorHAnsi"/>
                <w:sz w:val="20"/>
                <w:szCs w:val="20"/>
              </w:rPr>
              <w:t>Yes</w:t>
            </w:r>
          </w:p>
        </w:tc>
        <w:tc>
          <w:tcPr>
            <w:tcW w:w="1560" w:type="dxa"/>
            <w:shd w:val="clear" w:color="auto" w:fill="76923C" w:themeFill="accent3" w:themeFillShade="BF"/>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Yes</w:t>
            </w:r>
          </w:p>
        </w:tc>
        <w:tc>
          <w:tcPr>
            <w:tcW w:w="2126" w:type="dxa"/>
            <w:shd w:val="clear" w:color="auto" w:fill="76923C" w:themeFill="accent3" w:themeFillShade="BF"/>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Yes</w:t>
            </w:r>
          </w:p>
        </w:tc>
      </w:tr>
      <w:tr w:rsidR="0021355D" w:rsidRPr="00C849E1" w:rsidTr="004B30C4">
        <w:trPr>
          <w:gridAfter w:val="1"/>
          <w:wAfter w:w="1777" w:type="dxa"/>
          <w:trHeight w:val="608"/>
        </w:trPr>
        <w:tc>
          <w:tcPr>
            <w:tcW w:w="1304" w:type="dxa"/>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Offshore Wind (R2/3)</w:t>
            </w:r>
          </w:p>
        </w:tc>
        <w:tc>
          <w:tcPr>
            <w:tcW w:w="2693" w:type="dxa"/>
            <w:vMerge/>
            <w:shd w:val="clear" w:color="auto" w:fill="76923C" w:themeFill="accent3" w:themeFillShade="BF"/>
            <w:tcMar>
              <w:left w:w="28" w:type="dxa"/>
              <w:right w:w="28" w:type="dxa"/>
            </w:tcMar>
          </w:tcPr>
          <w:p w:rsidR="0021355D" w:rsidRPr="00C849E1" w:rsidRDefault="0021355D" w:rsidP="00B54066">
            <w:pPr>
              <w:suppressAutoHyphens/>
              <w:spacing w:after="40" w:line="260" w:lineRule="exact"/>
              <w:rPr>
                <w:rFonts w:cstheme="minorHAnsi"/>
                <w:sz w:val="20"/>
                <w:szCs w:val="20"/>
              </w:rPr>
            </w:pPr>
          </w:p>
        </w:tc>
        <w:tc>
          <w:tcPr>
            <w:tcW w:w="1701" w:type="dxa"/>
            <w:shd w:val="clear" w:color="auto" w:fill="76923C" w:themeFill="accent3" w:themeFillShade="BF"/>
          </w:tcPr>
          <w:p w:rsidR="0021355D" w:rsidRDefault="0021355D" w:rsidP="00B54066">
            <w:pPr>
              <w:suppressAutoHyphens/>
              <w:spacing w:after="40" w:line="260" w:lineRule="exact"/>
              <w:rPr>
                <w:rFonts w:cstheme="minorHAnsi"/>
                <w:sz w:val="20"/>
                <w:szCs w:val="20"/>
              </w:rPr>
            </w:pPr>
            <w:r>
              <w:rPr>
                <w:rFonts w:cstheme="minorHAnsi"/>
                <w:sz w:val="20"/>
                <w:szCs w:val="20"/>
              </w:rPr>
              <w:t>Yes</w:t>
            </w:r>
          </w:p>
        </w:tc>
        <w:tc>
          <w:tcPr>
            <w:tcW w:w="1560" w:type="dxa"/>
            <w:shd w:val="clear" w:color="auto" w:fill="76923C" w:themeFill="accent3" w:themeFillShade="BF"/>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Yes</w:t>
            </w:r>
          </w:p>
        </w:tc>
        <w:tc>
          <w:tcPr>
            <w:tcW w:w="2126" w:type="dxa"/>
            <w:shd w:val="clear" w:color="auto" w:fill="76923C" w:themeFill="accent3" w:themeFillShade="BF"/>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Yes</w:t>
            </w:r>
          </w:p>
        </w:tc>
      </w:tr>
      <w:tr w:rsidR="0021355D" w:rsidRPr="00C849E1" w:rsidTr="00B54066">
        <w:trPr>
          <w:gridAfter w:val="1"/>
          <w:wAfter w:w="1777" w:type="dxa"/>
          <w:trHeight w:val="655"/>
        </w:trPr>
        <w:tc>
          <w:tcPr>
            <w:tcW w:w="9384" w:type="dxa"/>
            <w:gridSpan w:val="5"/>
          </w:tcPr>
          <w:p w:rsidR="0021355D" w:rsidRPr="00C849E1" w:rsidRDefault="0021355D" w:rsidP="00B54066">
            <w:pPr>
              <w:suppressAutoHyphens/>
              <w:spacing w:after="40" w:line="260" w:lineRule="exact"/>
              <w:jc w:val="both"/>
              <w:rPr>
                <w:rFonts w:cstheme="minorHAnsi"/>
                <w:i/>
                <w:sz w:val="20"/>
                <w:szCs w:val="20"/>
              </w:rPr>
            </w:pPr>
            <w:r w:rsidRPr="00C849E1">
              <w:rPr>
                <w:rFonts w:cstheme="minorHAnsi"/>
                <w:i/>
                <w:sz w:val="20"/>
                <w:szCs w:val="20"/>
              </w:rPr>
              <w:br/>
              <w:t xml:space="preserve">We are </w:t>
            </w:r>
            <w:r w:rsidRPr="00C849E1">
              <w:rPr>
                <w:rFonts w:cstheme="minorHAnsi"/>
                <w:i/>
                <w:sz w:val="20"/>
                <w:szCs w:val="20"/>
                <w:u w:val="single"/>
              </w:rPr>
              <w:t>not</w:t>
            </w:r>
            <w:r w:rsidRPr="00C849E1">
              <w:rPr>
                <w:rFonts w:cstheme="minorHAnsi"/>
                <w:i/>
                <w:sz w:val="20"/>
                <w:szCs w:val="20"/>
              </w:rPr>
              <w:t xml:space="preserve"> minded</w:t>
            </w:r>
            <w:r>
              <w:rPr>
                <w:rFonts w:cstheme="minorHAnsi"/>
                <w:i/>
                <w:sz w:val="20"/>
                <w:szCs w:val="20"/>
              </w:rPr>
              <w:t xml:space="preserve"> to</w:t>
            </w:r>
            <w:r w:rsidRPr="00C849E1">
              <w:rPr>
                <w:rFonts w:cstheme="minorHAnsi"/>
                <w:i/>
                <w:sz w:val="20"/>
                <w:szCs w:val="20"/>
              </w:rPr>
              <w:t xml:space="preserve"> include the following technologies in the </w:t>
            </w:r>
            <w:r>
              <w:rPr>
                <w:rFonts w:cstheme="minorHAnsi"/>
                <w:i/>
                <w:sz w:val="20"/>
                <w:szCs w:val="20"/>
              </w:rPr>
              <w:t>OLR</w:t>
            </w:r>
            <w:r w:rsidRPr="00C849E1">
              <w:rPr>
                <w:rFonts w:cstheme="minorHAnsi"/>
                <w:i/>
                <w:sz w:val="20"/>
                <w:szCs w:val="20"/>
              </w:rPr>
              <w:t xml:space="preserve"> eligibility criteria:</w:t>
            </w:r>
          </w:p>
        </w:tc>
      </w:tr>
      <w:tr w:rsidR="0021355D" w:rsidRPr="00C849E1" w:rsidTr="00B54066">
        <w:tc>
          <w:tcPr>
            <w:tcW w:w="1304" w:type="dxa"/>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Solar</w:t>
            </w:r>
            <w:r>
              <w:rPr>
                <w:rFonts w:cstheme="minorHAnsi"/>
                <w:sz w:val="20"/>
                <w:szCs w:val="20"/>
              </w:rPr>
              <w:t xml:space="preserve"> PV (&gt;5MW)</w:t>
            </w:r>
          </w:p>
        </w:tc>
        <w:tc>
          <w:tcPr>
            <w:tcW w:w="2693" w:type="dxa"/>
            <w:shd w:val="clear" w:color="auto" w:fill="FABF8F" w:themeFill="accent6"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Risk that imbalance costs increase with more volatile cash out prices.</w:t>
            </w:r>
            <w:r>
              <w:rPr>
                <w:rFonts w:cstheme="minorHAnsi"/>
                <w:sz w:val="20"/>
                <w:szCs w:val="20"/>
              </w:rPr>
              <w:t xml:space="preserve"> Forecasting errors more predictable and less likely to be correlated with system imbalance, so l</w:t>
            </w:r>
            <w:r w:rsidRPr="00C849E1">
              <w:rPr>
                <w:rFonts w:cstheme="minorHAnsi"/>
                <w:sz w:val="20"/>
                <w:szCs w:val="20"/>
              </w:rPr>
              <w:t>ikely to be less material than for wind.</w:t>
            </w:r>
          </w:p>
        </w:tc>
        <w:tc>
          <w:tcPr>
            <w:tcW w:w="1701" w:type="dxa"/>
            <w:tcBorders>
              <w:bottom w:val="single" w:sz="4" w:space="0" w:color="auto"/>
            </w:tcBorders>
            <w:shd w:val="clear" w:color="auto" w:fill="D99594" w:themeFill="accent2" w:themeFillTint="99"/>
          </w:tcPr>
          <w:p w:rsidR="0021355D" w:rsidRDefault="0021355D" w:rsidP="00B54066">
            <w:pPr>
              <w:suppressAutoHyphens/>
              <w:spacing w:after="40" w:line="260" w:lineRule="exact"/>
              <w:rPr>
                <w:rFonts w:cstheme="minorHAnsi"/>
                <w:sz w:val="20"/>
                <w:szCs w:val="20"/>
              </w:rPr>
            </w:pPr>
            <w:r>
              <w:rPr>
                <w:rFonts w:cstheme="minorHAnsi"/>
                <w:sz w:val="20"/>
                <w:szCs w:val="20"/>
              </w:rPr>
              <w:t>No</w:t>
            </w:r>
          </w:p>
        </w:tc>
        <w:tc>
          <w:tcPr>
            <w:tcW w:w="1560" w:type="dxa"/>
            <w:shd w:val="clear" w:color="auto" w:fill="76923C" w:themeFill="accent3" w:themeFillShade="BF"/>
            <w:tcMar>
              <w:left w:w="28" w:type="dxa"/>
              <w:right w:w="28" w:type="dxa"/>
            </w:tcMar>
          </w:tcPr>
          <w:p w:rsidR="0021355D" w:rsidRDefault="0021355D" w:rsidP="00B54066">
            <w:pPr>
              <w:suppressAutoHyphens/>
              <w:spacing w:after="40" w:line="260" w:lineRule="exact"/>
              <w:rPr>
                <w:rFonts w:cstheme="minorHAnsi"/>
                <w:sz w:val="20"/>
                <w:szCs w:val="20"/>
              </w:rPr>
            </w:pPr>
            <w:r>
              <w:rPr>
                <w:rFonts w:cstheme="minorHAnsi"/>
                <w:sz w:val="20"/>
                <w:szCs w:val="20"/>
              </w:rPr>
              <w:t>Yes</w:t>
            </w:r>
          </w:p>
          <w:p w:rsidR="0021355D" w:rsidRPr="00C849E1" w:rsidRDefault="0021355D" w:rsidP="00B54066">
            <w:pPr>
              <w:suppressAutoHyphens/>
              <w:spacing w:after="40" w:line="260" w:lineRule="exact"/>
              <w:rPr>
                <w:rFonts w:cstheme="minorHAnsi"/>
                <w:sz w:val="20"/>
                <w:szCs w:val="20"/>
              </w:rPr>
            </w:pPr>
          </w:p>
        </w:tc>
        <w:tc>
          <w:tcPr>
            <w:tcW w:w="2126"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 – imbalance risk is not sufficient that debt require long-term PPAs</w:t>
            </w:r>
          </w:p>
        </w:tc>
        <w:tc>
          <w:tcPr>
            <w:tcW w:w="1777" w:type="dxa"/>
            <w:tcBorders>
              <w:top w:val="nil"/>
              <w:bottom w:val="nil"/>
            </w:tcBorders>
            <w:tcMar>
              <w:left w:w="28" w:type="dxa"/>
              <w:right w:w="28" w:type="dxa"/>
            </w:tcMar>
          </w:tcPr>
          <w:p w:rsidR="0021355D" w:rsidRPr="00C849E1" w:rsidRDefault="0021355D" w:rsidP="00B54066">
            <w:pPr>
              <w:suppressAutoHyphens/>
              <w:spacing w:after="40" w:line="260" w:lineRule="exact"/>
              <w:rPr>
                <w:rFonts w:cstheme="minorHAnsi"/>
                <w:sz w:val="20"/>
                <w:szCs w:val="20"/>
              </w:rPr>
            </w:pPr>
          </w:p>
        </w:tc>
      </w:tr>
      <w:tr w:rsidR="0021355D" w:rsidRPr="00C849E1" w:rsidTr="00B54066">
        <w:tc>
          <w:tcPr>
            <w:tcW w:w="1304" w:type="dxa"/>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Wave</w:t>
            </w:r>
          </w:p>
        </w:tc>
        <w:tc>
          <w:tcPr>
            <w:tcW w:w="2693" w:type="dxa"/>
            <w:shd w:val="clear" w:color="auto" w:fill="D6E3BC" w:themeFill="accent3" w:themeFillTint="66"/>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 xml:space="preserve">Risk that imbalance costs increase with more volatile cash out prices.  </w:t>
            </w:r>
            <w:r w:rsidRPr="004F1AD1">
              <w:rPr>
                <w:rFonts w:cstheme="minorHAnsi"/>
                <w:sz w:val="20"/>
                <w:szCs w:val="20"/>
              </w:rPr>
              <w:t xml:space="preserve"> Forecasting errors more predictable and less likely to be correlated with system imbalance, so </w:t>
            </w:r>
            <w:r>
              <w:rPr>
                <w:rFonts w:cstheme="minorHAnsi"/>
                <w:sz w:val="20"/>
                <w:szCs w:val="20"/>
              </w:rPr>
              <w:t>l</w:t>
            </w:r>
            <w:r w:rsidRPr="00C849E1">
              <w:rPr>
                <w:rFonts w:cstheme="minorHAnsi"/>
                <w:sz w:val="20"/>
                <w:szCs w:val="20"/>
              </w:rPr>
              <w:t>ikely to be much less material than for wind.</w:t>
            </w:r>
          </w:p>
        </w:tc>
        <w:tc>
          <w:tcPr>
            <w:tcW w:w="1701" w:type="dxa"/>
            <w:tcBorders>
              <w:top w:val="single" w:sz="4" w:space="0" w:color="auto"/>
              <w:bottom w:val="nil"/>
            </w:tcBorders>
            <w:shd w:val="clear" w:color="auto" w:fill="FFFFFF" w:themeFill="background1"/>
          </w:tcPr>
          <w:p w:rsidR="0021355D" w:rsidRPr="00C849E1" w:rsidRDefault="0021355D" w:rsidP="00B54066">
            <w:pPr>
              <w:suppressAutoHyphens/>
              <w:spacing w:after="40" w:line="260" w:lineRule="exact"/>
              <w:rPr>
                <w:rFonts w:cstheme="minorHAnsi"/>
                <w:sz w:val="20"/>
                <w:szCs w:val="20"/>
              </w:rPr>
            </w:pPr>
          </w:p>
        </w:tc>
        <w:tc>
          <w:tcPr>
            <w:tcW w:w="1560"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No</w:t>
            </w:r>
          </w:p>
        </w:tc>
        <w:tc>
          <w:tcPr>
            <w:tcW w:w="2126"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proofErr w:type="gramStart"/>
            <w:r w:rsidRPr="00C849E1">
              <w:rPr>
                <w:rFonts w:cstheme="minorHAnsi"/>
                <w:sz w:val="20"/>
                <w:szCs w:val="20"/>
              </w:rPr>
              <w:t>No</w:t>
            </w:r>
            <w:r>
              <w:rPr>
                <w:rFonts w:cstheme="minorHAnsi"/>
                <w:sz w:val="20"/>
                <w:szCs w:val="20"/>
              </w:rPr>
              <w:t xml:space="preserve"> – the technology is not sufficiently developed to understand the extent of the imbalance risk and the degree of discount within a Backstop PPA.</w:t>
            </w:r>
            <w:proofErr w:type="gramEnd"/>
          </w:p>
        </w:tc>
        <w:tc>
          <w:tcPr>
            <w:tcW w:w="1777" w:type="dxa"/>
            <w:tcBorders>
              <w:top w:val="nil"/>
              <w:bottom w:val="nil"/>
            </w:tcBorders>
            <w:tcMar>
              <w:left w:w="28" w:type="dxa"/>
              <w:right w:w="28" w:type="dxa"/>
            </w:tcMar>
          </w:tcPr>
          <w:p w:rsidR="0021355D" w:rsidRPr="00C849E1" w:rsidRDefault="0021355D" w:rsidP="00B54066">
            <w:pPr>
              <w:suppressAutoHyphens/>
              <w:spacing w:after="40" w:line="260" w:lineRule="exact"/>
              <w:rPr>
                <w:rFonts w:cstheme="minorHAnsi"/>
                <w:sz w:val="20"/>
                <w:szCs w:val="20"/>
              </w:rPr>
            </w:pPr>
          </w:p>
        </w:tc>
      </w:tr>
      <w:tr w:rsidR="0021355D" w:rsidRPr="00C849E1" w:rsidTr="00B54066">
        <w:tc>
          <w:tcPr>
            <w:tcW w:w="1304" w:type="dxa"/>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 xml:space="preserve">Tidal </w:t>
            </w:r>
          </w:p>
        </w:tc>
        <w:tc>
          <w:tcPr>
            <w:tcW w:w="2693"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 Generation should be highly predictable (although variable), so should not be exposed to imbalance risk.</w:t>
            </w:r>
          </w:p>
        </w:tc>
        <w:tc>
          <w:tcPr>
            <w:tcW w:w="1701" w:type="dxa"/>
            <w:tcBorders>
              <w:top w:val="nil"/>
              <w:bottom w:val="nil"/>
            </w:tcBorders>
            <w:shd w:val="clear" w:color="auto" w:fill="FFFFFF" w:themeFill="background1"/>
          </w:tcPr>
          <w:p w:rsidR="0021355D" w:rsidRDefault="0021355D" w:rsidP="00B54066">
            <w:pPr>
              <w:suppressAutoHyphens/>
              <w:spacing w:after="40" w:line="260" w:lineRule="exact"/>
              <w:rPr>
                <w:rFonts w:cstheme="minorHAnsi"/>
                <w:sz w:val="20"/>
                <w:szCs w:val="20"/>
              </w:rPr>
            </w:pPr>
          </w:p>
        </w:tc>
        <w:tc>
          <w:tcPr>
            <w:tcW w:w="1560"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w:t>
            </w:r>
          </w:p>
        </w:tc>
        <w:tc>
          <w:tcPr>
            <w:tcW w:w="2126"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 – no material imbalance risk</w:t>
            </w:r>
          </w:p>
        </w:tc>
        <w:tc>
          <w:tcPr>
            <w:tcW w:w="1777" w:type="dxa"/>
            <w:tcBorders>
              <w:top w:val="nil"/>
              <w:bottom w:val="nil"/>
            </w:tcBorders>
            <w:tcMar>
              <w:left w:w="28" w:type="dxa"/>
              <w:right w:w="28" w:type="dxa"/>
            </w:tcMar>
          </w:tcPr>
          <w:p w:rsidR="0021355D" w:rsidRPr="00C849E1" w:rsidRDefault="0021355D" w:rsidP="00B54066">
            <w:pPr>
              <w:suppressAutoHyphens/>
              <w:spacing w:after="40" w:line="260" w:lineRule="exact"/>
              <w:rPr>
                <w:rFonts w:cstheme="minorHAnsi"/>
                <w:sz w:val="20"/>
                <w:szCs w:val="20"/>
              </w:rPr>
            </w:pPr>
          </w:p>
        </w:tc>
      </w:tr>
      <w:tr w:rsidR="0021355D" w:rsidRPr="00C849E1" w:rsidTr="00B54066">
        <w:tc>
          <w:tcPr>
            <w:tcW w:w="1304" w:type="dxa"/>
            <w:tcMar>
              <w:left w:w="28" w:type="dxa"/>
              <w:right w:w="28" w:type="dxa"/>
            </w:tcMar>
          </w:tcPr>
          <w:p w:rsidR="0021355D" w:rsidRPr="00C849E1" w:rsidRDefault="0021355D" w:rsidP="00B54066">
            <w:pPr>
              <w:suppressAutoHyphens/>
              <w:spacing w:after="40" w:line="260" w:lineRule="exact"/>
              <w:rPr>
                <w:rFonts w:cstheme="minorHAnsi"/>
                <w:sz w:val="20"/>
                <w:szCs w:val="20"/>
              </w:rPr>
            </w:pPr>
            <w:proofErr w:type="spellStart"/>
            <w:r w:rsidRPr="00C849E1">
              <w:rPr>
                <w:rFonts w:cstheme="minorHAnsi"/>
                <w:sz w:val="20"/>
                <w:szCs w:val="20"/>
              </w:rPr>
              <w:t>EfW</w:t>
            </w:r>
            <w:proofErr w:type="spellEnd"/>
          </w:p>
        </w:tc>
        <w:tc>
          <w:tcPr>
            <w:tcW w:w="2693"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w:t>
            </w:r>
          </w:p>
        </w:tc>
        <w:tc>
          <w:tcPr>
            <w:tcW w:w="1701" w:type="dxa"/>
            <w:tcBorders>
              <w:top w:val="nil"/>
              <w:bottom w:val="nil"/>
            </w:tcBorders>
            <w:shd w:val="clear" w:color="auto" w:fill="FFFFFF" w:themeFill="background1"/>
          </w:tcPr>
          <w:p w:rsidR="0021355D" w:rsidRDefault="0021355D" w:rsidP="00B54066">
            <w:pPr>
              <w:suppressAutoHyphens/>
              <w:spacing w:after="40" w:line="260" w:lineRule="exact"/>
              <w:rPr>
                <w:rFonts w:cstheme="minorHAnsi"/>
                <w:sz w:val="20"/>
                <w:szCs w:val="20"/>
              </w:rPr>
            </w:pPr>
          </w:p>
        </w:tc>
        <w:tc>
          <w:tcPr>
            <w:tcW w:w="1560" w:type="dxa"/>
            <w:shd w:val="clear" w:color="auto" w:fill="C2D69B" w:themeFill="accent3"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Yes</w:t>
            </w:r>
          </w:p>
        </w:tc>
        <w:tc>
          <w:tcPr>
            <w:tcW w:w="2126"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 – no material imbalance risk</w:t>
            </w:r>
          </w:p>
        </w:tc>
        <w:tc>
          <w:tcPr>
            <w:tcW w:w="1777" w:type="dxa"/>
            <w:tcBorders>
              <w:top w:val="nil"/>
              <w:bottom w:val="nil"/>
            </w:tcBorders>
            <w:tcMar>
              <w:left w:w="28" w:type="dxa"/>
              <w:right w:w="28" w:type="dxa"/>
            </w:tcMar>
          </w:tcPr>
          <w:p w:rsidR="0021355D" w:rsidRPr="00C849E1" w:rsidRDefault="0021355D" w:rsidP="00B54066">
            <w:pPr>
              <w:suppressAutoHyphens/>
              <w:spacing w:after="40" w:line="260" w:lineRule="exact"/>
              <w:rPr>
                <w:rFonts w:cstheme="minorHAnsi"/>
                <w:sz w:val="20"/>
                <w:szCs w:val="20"/>
              </w:rPr>
            </w:pPr>
          </w:p>
        </w:tc>
      </w:tr>
      <w:tr w:rsidR="0021355D" w:rsidRPr="00C849E1" w:rsidTr="00B54066">
        <w:tc>
          <w:tcPr>
            <w:tcW w:w="1304" w:type="dxa"/>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Anaerobic Digestion</w:t>
            </w:r>
          </w:p>
        </w:tc>
        <w:tc>
          <w:tcPr>
            <w:tcW w:w="2693"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w:t>
            </w:r>
          </w:p>
        </w:tc>
        <w:tc>
          <w:tcPr>
            <w:tcW w:w="1701" w:type="dxa"/>
            <w:tcBorders>
              <w:top w:val="nil"/>
              <w:bottom w:val="nil"/>
            </w:tcBorders>
            <w:shd w:val="clear" w:color="auto" w:fill="FFFFFF" w:themeFill="background1"/>
          </w:tcPr>
          <w:p w:rsidR="0021355D" w:rsidRDefault="0021355D" w:rsidP="00B54066">
            <w:pPr>
              <w:suppressAutoHyphens/>
              <w:spacing w:after="40" w:line="260" w:lineRule="exact"/>
              <w:rPr>
                <w:rFonts w:cstheme="minorHAnsi"/>
                <w:sz w:val="20"/>
                <w:szCs w:val="20"/>
              </w:rPr>
            </w:pPr>
          </w:p>
        </w:tc>
        <w:tc>
          <w:tcPr>
            <w:tcW w:w="1560" w:type="dxa"/>
            <w:shd w:val="clear" w:color="auto" w:fill="C2D69B" w:themeFill="accent3"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Yes</w:t>
            </w:r>
          </w:p>
        </w:tc>
        <w:tc>
          <w:tcPr>
            <w:tcW w:w="2126"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 – no material imbalance risk</w:t>
            </w:r>
          </w:p>
        </w:tc>
        <w:tc>
          <w:tcPr>
            <w:tcW w:w="1777" w:type="dxa"/>
            <w:tcBorders>
              <w:top w:val="nil"/>
              <w:bottom w:val="nil"/>
            </w:tcBorders>
            <w:tcMar>
              <w:left w:w="28" w:type="dxa"/>
              <w:right w:w="28" w:type="dxa"/>
            </w:tcMar>
          </w:tcPr>
          <w:p w:rsidR="0021355D" w:rsidRPr="00C849E1" w:rsidRDefault="0021355D" w:rsidP="00B54066">
            <w:pPr>
              <w:suppressAutoHyphens/>
              <w:spacing w:after="40" w:line="260" w:lineRule="exact"/>
              <w:rPr>
                <w:rFonts w:cstheme="minorHAnsi"/>
                <w:sz w:val="20"/>
                <w:szCs w:val="20"/>
              </w:rPr>
            </w:pPr>
          </w:p>
        </w:tc>
      </w:tr>
      <w:tr w:rsidR="0021355D" w:rsidRPr="00C849E1" w:rsidTr="00B54066">
        <w:tc>
          <w:tcPr>
            <w:tcW w:w="1304" w:type="dxa"/>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Biomass</w:t>
            </w:r>
          </w:p>
        </w:tc>
        <w:tc>
          <w:tcPr>
            <w:tcW w:w="2693"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w:t>
            </w:r>
          </w:p>
        </w:tc>
        <w:tc>
          <w:tcPr>
            <w:tcW w:w="1701" w:type="dxa"/>
            <w:tcBorders>
              <w:top w:val="nil"/>
              <w:bottom w:val="nil"/>
            </w:tcBorders>
            <w:shd w:val="clear" w:color="auto" w:fill="FFFFFF" w:themeFill="background1"/>
          </w:tcPr>
          <w:p w:rsidR="0021355D" w:rsidRDefault="0021355D" w:rsidP="00B54066">
            <w:pPr>
              <w:suppressAutoHyphens/>
              <w:spacing w:after="40" w:line="260" w:lineRule="exact"/>
              <w:rPr>
                <w:rFonts w:cstheme="minorHAnsi"/>
                <w:sz w:val="20"/>
                <w:szCs w:val="20"/>
              </w:rPr>
            </w:pPr>
          </w:p>
        </w:tc>
        <w:tc>
          <w:tcPr>
            <w:tcW w:w="1560" w:type="dxa"/>
            <w:shd w:val="clear" w:color="auto" w:fill="C2D69B" w:themeFill="accent3"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Yes</w:t>
            </w:r>
          </w:p>
        </w:tc>
        <w:tc>
          <w:tcPr>
            <w:tcW w:w="2126"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 – no material imbalance risk</w:t>
            </w:r>
          </w:p>
        </w:tc>
        <w:tc>
          <w:tcPr>
            <w:tcW w:w="1777" w:type="dxa"/>
            <w:tcBorders>
              <w:top w:val="nil"/>
              <w:bottom w:val="nil"/>
            </w:tcBorders>
            <w:tcMar>
              <w:left w:w="28" w:type="dxa"/>
              <w:right w:w="28" w:type="dxa"/>
            </w:tcMar>
          </w:tcPr>
          <w:p w:rsidR="0021355D" w:rsidRPr="00C849E1" w:rsidRDefault="0021355D" w:rsidP="00B54066">
            <w:pPr>
              <w:suppressAutoHyphens/>
              <w:spacing w:after="40" w:line="260" w:lineRule="exact"/>
              <w:rPr>
                <w:rFonts w:cstheme="minorHAnsi"/>
                <w:sz w:val="20"/>
                <w:szCs w:val="20"/>
              </w:rPr>
            </w:pPr>
          </w:p>
        </w:tc>
      </w:tr>
      <w:tr w:rsidR="0021355D" w:rsidRPr="00C849E1" w:rsidTr="00B54066">
        <w:tc>
          <w:tcPr>
            <w:tcW w:w="1304" w:type="dxa"/>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CCS</w:t>
            </w:r>
            <w:r>
              <w:rPr>
                <w:rFonts w:cstheme="minorHAnsi"/>
                <w:sz w:val="20"/>
                <w:szCs w:val="20"/>
              </w:rPr>
              <w:t xml:space="preserve"> – gas and coal</w:t>
            </w:r>
          </w:p>
        </w:tc>
        <w:tc>
          <w:tcPr>
            <w:tcW w:w="2693"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w:t>
            </w:r>
          </w:p>
        </w:tc>
        <w:tc>
          <w:tcPr>
            <w:tcW w:w="1701" w:type="dxa"/>
            <w:tcBorders>
              <w:top w:val="nil"/>
              <w:bottom w:val="nil"/>
            </w:tcBorders>
            <w:shd w:val="clear" w:color="auto" w:fill="FFFFFF" w:themeFill="background1"/>
          </w:tcPr>
          <w:p w:rsidR="0021355D" w:rsidRDefault="0021355D" w:rsidP="00B54066">
            <w:pPr>
              <w:suppressAutoHyphens/>
              <w:spacing w:after="40" w:line="260" w:lineRule="exact"/>
              <w:rPr>
                <w:rFonts w:cstheme="minorHAnsi"/>
                <w:sz w:val="20"/>
                <w:szCs w:val="20"/>
              </w:rPr>
            </w:pPr>
          </w:p>
        </w:tc>
        <w:tc>
          <w:tcPr>
            <w:tcW w:w="1560"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w:t>
            </w:r>
          </w:p>
        </w:tc>
        <w:tc>
          <w:tcPr>
            <w:tcW w:w="2126" w:type="dxa"/>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 – no material imbalance risk</w:t>
            </w:r>
          </w:p>
        </w:tc>
        <w:tc>
          <w:tcPr>
            <w:tcW w:w="1777" w:type="dxa"/>
            <w:tcBorders>
              <w:top w:val="nil"/>
              <w:bottom w:val="nil"/>
            </w:tcBorders>
            <w:tcMar>
              <w:left w:w="28" w:type="dxa"/>
              <w:right w:w="28" w:type="dxa"/>
            </w:tcMar>
          </w:tcPr>
          <w:p w:rsidR="0021355D" w:rsidRPr="00C849E1" w:rsidRDefault="0021355D" w:rsidP="00B54066">
            <w:pPr>
              <w:suppressAutoHyphens/>
              <w:spacing w:after="40" w:line="260" w:lineRule="exact"/>
              <w:rPr>
                <w:rFonts w:cstheme="minorHAnsi"/>
                <w:sz w:val="20"/>
                <w:szCs w:val="20"/>
              </w:rPr>
            </w:pPr>
          </w:p>
        </w:tc>
      </w:tr>
      <w:tr w:rsidR="0021355D" w:rsidRPr="00C849E1" w:rsidTr="00B54066">
        <w:tc>
          <w:tcPr>
            <w:tcW w:w="1304" w:type="dxa"/>
            <w:tcBorders>
              <w:bottom w:val="nil"/>
            </w:tcBorders>
            <w:tcMar>
              <w:left w:w="28" w:type="dxa"/>
              <w:right w:w="28" w:type="dxa"/>
            </w:tcMar>
          </w:tcPr>
          <w:p w:rsidR="0021355D" w:rsidRPr="00C849E1" w:rsidRDefault="0021355D" w:rsidP="00B54066">
            <w:pPr>
              <w:suppressAutoHyphens/>
              <w:spacing w:after="40" w:line="260" w:lineRule="exact"/>
              <w:rPr>
                <w:rFonts w:cstheme="minorHAnsi"/>
                <w:sz w:val="20"/>
                <w:szCs w:val="20"/>
              </w:rPr>
            </w:pPr>
            <w:r w:rsidRPr="00C849E1">
              <w:rPr>
                <w:rFonts w:cstheme="minorHAnsi"/>
                <w:sz w:val="20"/>
                <w:szCs w:val="20"/>
              </w:rPr>
              <w:t xml:space="preserve">Nuclear </w:t>
            </w:r>
          </w:p>
        </w:tc>
        <w:tc>
          <w:tcPr>
            <w:tcW w:w="2693" w:type="dxa"/>
            <w:tcBorders>
              <w:bottom w:val="nil"/>
            </w:tcBorders>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w:t>
            </w:r>
          </w:p>
        </w:tc>
        <w:tc>
          <w:tcPr>
            <w:tcW w:w="1701" w:type="dxa"/>
            <w:tcBorders>
              <w:top w:val="nil"/>
              <w:bottom w:val="nil"/>
            </w:tcBorders>
            <w:shd w:val="clear" w:color="auto" w:fill="FFFFFF" w:themeFill="background1"/>
          </w:tcPr>
          <w:p w:rsidR="0021355D" w:rsidRDefault="0021355D" w:rsidP="00B54066">
            <w:pPr>
              <w:suppressAutoHyphens/>
              <w:spacing w:after="40" w:line="260" w:lineRule="exact"/>
              <w:rPr>
                <w:rFonts w:cstheme="minorHAnsi"/>
                <w:sz w:val="20"/>
                <w:szCs w:val="20"/>
              </w:rPr>
            </w:pPr>
          </w:p>
        </w:tc>
        <w:tc>
          <w:tcPr>
            <w:tcW w:w="1560" w:type="dxa"/>
            <w:tcBorders>
              <w:bottom w:val="nil"/>
            </w:tcBorders>
            <w:shd w:val="clear" w:color="auto" w:fill="C2D69B" w:themeFill="accent3"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Yes</w:t>
            </w:r>
          </w:p>
        </w:tc>
        <w:tc>
          <w:tcPr>
            <w:tcW w:w="2126" w:type="dxa"/>
            <w:tcBorders>
              <w:bottom w:val="nil"/>
            </w:tcBorders>
            <w:shd w:val="clear" w:color="auto" w:fill="D99594" w:themeFill="accent2" w:themeFillTint="99"/>
            <w:tcMar>
              <w:left w:w="28" w:type="dxa"/>
              <w:right w:w="28" w:type="dxa"/>
            </w:tcMar>
          </w:tcPr>
          <w:p w:rsidR="0021355D" w:rsidRPr="00C849E1" w:rsidRDefault="0021355D" w:rsidP="00B54066">
            <w:pPr>
              <w:suppressAutoHyphens/>
              <w:spacing w:after="40" w:line="260" w:lineRule="exact"/>
              <w:rPr>
                <w:rFonts w:cstheme="minorHAnsi"/>
                <w:sz w:val="20"/>
                <w:szCs w:val="20"/>
              </w:rPr>
            </w:pPr>
            <w:r>
              <w:rPr>
                <w:rFonts w:cstheme="minorHAnsi"/>
                <w:sz w:val="20"/>
                <w:szCs w:val="20"/>
              </w:rPr>
              <w:t>No – no material imbalance risk</w:t>
            </w:r>
          </w:p>
        </w:tc>
        <w:tc>
          <w:tcPr>
            <w:tcW w:w="1777" w:type="dxa"/>
            <w:tcBorders>
              <w:top w:val="nil"/>
              <w:bottom w:val="nil"/>
            </w:tcBorders>
            <w:tcMar>
              <w:left w:w="28" w:type="dxa"/>
              <w:right w:w="28" w:type="dxa"/>
            </w:tcMar>
          </w:tcPr>
          <w:p w:rsidR="0021355D" w:rsidRPr="00C849E1" w:rsidRDefault="0021355D" w:rsidP="00B54066">
            <w:pPr>
              <w:suppressAutoHyphens/>
              <w:spacing w:after="40" w:line="260" w:lineRule="exact"/>
              <w:rPr>
                <w:rFonts w:cstheme="minorHAnsi"/>
                <w:sz w:val="20"/>
                <w:szCs w:val="20"/>
              </w:rPr>
            </w:pPr>
          </w:p>
        </w:tc>
      </w:tr>
    </w:tbl>
    <w:p w:rsidR="00A666A3" w:rsidRPr="00F5279B" w:rsidRDefault="00A666A3" w:rsidP="001820B0">
      <w:pPr>
        <w:pStyle w:val="ListParagraph"/>
        <w:keepNext/>
        <w:numPr>
          <w:ilvl w:val="1"/>
          <w:numId w:val="14"/>
        </w:numPr>
        <w:spacing w:before="240"/>
        <w:ind w:left="567" w:hanging="567"/>
        <w:contextualSpacing w:val="0"/>
        <w:rPr>
          <w:rFonts w:cstheme="minorHAnsi"/>
        </w:rPr>
      </w:pPr>
      <w:r>
        <w:rPr>
          <w:rFonts w:cstheme="minorHAnsi"/>
          <w:b/>
        </w:rPr>
        <w:lastRenderedPageBreak/>
        <w:t>Generator Size</w:t>
      </w:r>
    </w:p>
    <w:p w:rsidR="00A666A3" w:rsidRDefault="00A666A3" w:rsidP="002E7615">
      <w:pPr>
        <w:pStyle w:val="ListParagraph"/>
        <w:numPr>
          <w:ilvl w:val="1"/>
          <w:numId w:val="14"/>
        </w:numPr>
        <w:spacing w:after="180"/>
        <w:ind w:left="567" w:hanging="567"/>
        <w:contextualSpacing w:val="0"/>
        <w:rPr>
          <w:rFonts w:cstheme="minorHAnsi"/>
        </w:rPr>
      </w:pPr>
      <w:r w:rsidRPr="007B1FD8">
        <w:rPr>
          <w:rFonts w:cstheme="minorHAnsi"/>
        </w:rPr>
        <w:t xml:space="preserve">We consider eligibility issues pertaining to generator size only </w:t>
      </w:r>
      <w:r>
        <w:rPr>
          <w:rFonts w:cstheme="minorHAnsi"/>
        </w:rPr>
        <w:t xml:space="preserve">for </w:t>
      </w:r>
      <w:r w:rsidRPr="007B1FD8">
        <w:rPr>
          <w:rFonts w:cstheme="minorHAnsi"/>
        </w:rPr>
        <w:t xml:space="preserve">the technologies identified above </w:t>
      </w:r>
      <w:r>
        <w:rPr>
          <w:rFonts w:cstheme="minorHAnsi"/>
        </w:rPr>
        <w:t xml:space="preserve">as being potentially </w:t>
      </w:r>
      <w:r w:rsidRPr="007B1FD8">
        <w:rPr>
          <w:rFonts w:cstheme="minorHAnsi"/>
        </w:rPr>
        <w:t xml:space="preserve">eligible for the OLR:  </w:t>
      </w:r>
      <w:r w:rsidR="00B9570E">
        <w:rPr>
          <w:rFonts w:cstheme="minorHAnsi"/>
        </w:rPr>
        <w:t xml:space="preserve">Onshore and Offshore </w:t>
      </w:r>
      <w:r w:rsidRPr="007B1FD8">
        <w:rPr>
          <w:rFonts w:cstheme="minorHAnsi"/>
        </w:rPr>
        <w:t>wind.</w:t>
      </w:r>
    </w:p>
    <w:p w:rsidR="00A666A3" w:rsidRPr="00A666A3" w:rsidRDefault="00A666A3" w:rsidP="002E7615">
      <w:pPr>
        <w:pStyle w:val="ListParagraph"/>
        <w:numPr>
          <w:ilvl w:val="1"/>
          <w:numId w:val="14"/>
        </w:numPr>
        <w:spacing w:after="180"/>
        <w:ind w:left="567" w:hanging="567"/>
        <w:contextualSpacing w:val="0"/>
        <w:rPr>
          <w:rFonts w:cstheme="minorHAnsi"/>
        </w:rPr>
      </w:pPr>
      <w:r w:rsidRPr="00A666A3">
        <w:rPr>
          <w:rFonts w:cstheme="minorHAnsi"/>
        </w:rPr>
        <w:t xml:space="preserve">Renewable generation projects have a diverse range of sizes; whilst the majority are small, there are a smaller number of large projects, particularly </w:t>
      </w:r>
      <w:proofErr w:type="gramStart"/>
      <w:r w:rsidRPr="00A666A3">
        <w:rPr>
          <w:rFonts w:cstheme="minorHAnsi"/>
        </w:rPr>
        <w:t>Offshore</w:t>
      </w:r>
      <w:proofErr w:type="gramEnd"/>
      <w:r w:rsidRPr="00A666A3">
        <w:rPr>
          <w:rFonts w:cstheme="minorHAnsi"/>
        </w:rPr>
        <w:t xml:space="preserve"> wind.  Figures 1 and 2 illustrate both the number of solar, onshore and offshore wind projects within the planning system across different size bands and the total volume of capacity within each band.  As might be expected, the vast majority of projects are below 50MW, yet most of the capacity is contributed by projects above 100MW.</w:t>
      </w:r>
    </w:p>
    <w:p w:rsidR="00A666A3" w:rsidRDefault="00A666A3" w:rsidP="002E7615">
      <w:pPr>
        <w:pStyle w:val="ListParagraph"/>
        <w:numPr>
          <w:ilvl w:val="1"/>
          <w:numId w:val="14"/>
        </w:numPr>
        <w:spacing w:after="180"/>
        <w:ind w:left="567" w:hanging="567"/>
        <w:contextualSpacing w:val="0"/>
        <w:rPr>
          <w:rFonts w:cstheme="minorHAnsi"/>
        </w:rPr>
      </w:pPr>
      <w:r w:rsidRPr="00A666A3">
        <w:rPr>
          <w:rFonts w:cstheme="minorHAnsi"/>
        </w:rPr>
        <w:t xml:space="preserve">Given the range of project sizes, with most projects small in nature, there is a risk associated with the allocation mechanism that the inclusion of large generators could distort the supply market (regardless of the levelisation process) if one offtaker is mandated to enter into a backstop PPA with a large generator whilst their competitors are awarded much smaller sites.  </w:t>
      </w:r>
    </w:p>
    <w:p w:rsidR="001A7721" w:rsidRDefault="001A7721" w:rsidP="002E7615">
      <w:pPr>
        <w:pStyle w:val="ListParagraph"/>
        <w:numPr>
          <w:ilvl w:val="1"/>
          <w:numId w:val="14"/>
        </w:numPr>
        <w:spacing w:after="180"/>
        <w:ind w:left="567" w:hanging="567"/>
        <w:contextualSpacing w:val="0"/>
        <w:rPr>
          <w:rFonts w:cstheme="minorHAnsi"/>
        </w:rPr>
      </w:pPr>
      <w:r w:rsidRPr="001A7721">
        <w:rPr>
          <w:rFonts w:cstheme="minorHAnsi"/>
        </w:rPr>
        <w:t>There is an additional risk that the variance in projected generation capacity that an Offtaker might be required to support under the Backstop PPA could reduce the appetite for suppliers to offer PPAs in the open market (see Baringa supporting paper 1A).  It is also unclear whether, under competitive allocation of backstop PPAs, there would be sufficient competition to be able to accurately price a Backstop PPA for a very large generator.</w:t>
      </w:r>
    </w:p>
    <w:p w:rsidR="001A7721" w:rsidRDefault="001A7721" w:rsidP="002E7615">
      <w:pPr>
        <w:pStyle w:val="ListParagraph"/>
        <w:numPr>
          <w:ilvl w:val="1"/>
          <w:numId w:val="14"/>
        </w:numPr>
        <w:spacing w:after="180"/>
        <w:ind w:left="567" w:hanging="567"/>
        <w:contextualSpacing w:val="0"/>
        <w:rPr>
          <w:rFonts w:cstheme="minorHAnsi"/>
        </w:rPr>
      </w:pPr>
      <w:r w:rsidRPr="001A7721">
        <w:rPr>
          <w:rFonts w:cstheme="minorHAnsi"/>
        </w:rPr>
        <w:t xml:space="preserve">Coupled with the risks above, there is a separate question on whether large generators require the comfort of a Backstop PPA.  </w:t>
      </w:r>
      <w:r w:rsidR="004B30C4">
        <w:rPr>
          <w:rFonts w:cstheme="minorHAnsi"/>
        </w:rPr>
        <w:t>It could be argued that l</w:t>
      </w:r>
      <w:r w:rsidRPr="001A7721">
        <w:rPr>
          <w:rFonts w:cstheme="minorHAnsi"/>
        </w:rPr>
        <w:t>arger generators are more likely to use balance sheet finance for their projects and may be better placed to manage long-term imbalance risk without needing long-term PPAs.  We are seeking views on this.</w:t>
      </w:r>
    </w:p>
    <w:p w:rsidR="001820B0" w:rsidRDefault="001820B0" w:rsidP="002E7615">
      <w:pPr>
        <w:pStyle w:val="ListParagraph"/>
        <w:numPr>
          <w:ilvl w:val="1"/>
          <w:numId w:val="14"/>
        </w:numPr>
        <w:spacing w:after="180"/>
        <w:ind w:left="567" w:hanging="567"/>
        <w:contextualSpacing w:val="0"/>
        <w:rPr>
          <w:rFonts w:cstheme="minorHAnsi"/>
        </w:rPr>
      </w:pPr>
      <w:r>
        <w:rPr>
          <w:rFonts w:cstheme="minorHAnsi"/>
        </w:rPr>
        <w:t xml:space="preserve">For these reasons </w:t>
      </w:r>
      <w:r w:rsidR="004B30C4">
        <w:rPr>
          <w:rFonts w:cstheme="minorHAnsi"/>
          <w:b/>
        </w:rPr>
        <w:t>we a</w:t>
      </w:r>
      <w:r w:rsidRPr="004B30C4">
        <w:rPr>
          <w:rFonts w:cstheme="minorHAnsi"/>
          <w:b/>
        </w:rPr>
        <w:t>re considering capping the size of projects that are eligible for the OLR</w:t>
      </w:r>
      <w:r w:rsidRPr="00F5279B">
        <w:rPr>
          <w:rFonts w:cstheme="minorHAnsi"/>
        </w:rPr>
        <w:t>.</w:t>
      </w:r>
      <w:r>
        <w:rPr>
          <w:rFonts w:cstheme="minorHAnsi"/>
        </w:rPr>
        <w:t xml:space="preserve"> Based on the distribution of projects in the planning system (Figures 1 and 2 above) and the threshold above which generators have to be licenced by </w:t>
      </w:r>
      <w:proofErr w:type="spellStart"/>
      <w:r>
        <w:rPr>
          <w:rFonts w:cstheme="minorHAnsi"/>
        </w:rPr>
        <w:t>Ofgem</w:t>
      </w:r>
      <w:proofErr w:type="spellEnd"/>
      <w:r>
        <w:rPr>
          <w:rFonts w:cstheme="minorHAnsi"/>
        </w:rPr>
        <w:t xml:space="preserve"> and sign up to the BSC, 100MW might be an appropriate threshold above which generators are </w:t>
      </w:r>
      <w:r w:rsidRPr="002E7615">
        <w:rPr>
          <w:rFonts w:cstheme="minorHAnsi"/>
        </w:rPr>
        <w:t>not</w:t>
      </w:r>
      <w:r>
        <w:rPr>
          <w:rFonts w:cstheme="minorHAnsi"/>
        </w:rPr>
        <w:t xml:space="preserve"> eligible for the OLR.  </w:t>
      </w:r>
      <w:r w:rsidRPr="00F5279B">
        <w:rPr>
          <w:rFonts w:cstheme="minorHAnsi"/>
        </w:rPr>
        <w:t xml:space="preserve"> </w:t>
      </w:r>
    </w:p>
    <w:p w:rsidR="001820B0" w:rsidRDefault="001820B0" w:rsidP="002E7615">
      <w:pPr>
        <w:pStyle w:val="ListParagraph"/>
        <w:numPr>
          <w:ilvl w:val="1"/>
          <w:numId w:val="14"/>
        </w:numPr>
        <w:spacing w:after="180"/>
        <w:ind w:left="567" w:hanging="567"/>
        <w:contextualSpacing w:val="0"/>
        <w:rPr>
          <w:rFonts w:cstheme="minorHAnsi"/>
        </w:rPr>
      </w:pPr>
      <w:r w:rsidRPr="001854DF">
        <w:rPr>
          <w:rFonts w:cstheme="minorHAnsi"/>
        </w:rPr>
        <w:t xml:space="preserve">An alternative approach to </w:t>
      </w:r>
      <w:r>
        <w:rPr>
          <w:rFonts w:cstheme="minorHAnsi"/>
        </w:rPr>
        <w:t xml:space="preserve">mitigating the risks posed by </w:t>
      </w:r>
      <w:r w:rsidRPr="001854DF">
        <w:rPr>
          <w:rFonts w:cstheme="minorHAnsi"/>
        </w:rPr>
        <w:t xml:space="preserve">larger generators would be to split their output across a number of offtakers.  For example, a 500MW site could be allocated to five </w:t>
      </w:r>
      <w:r>
        <w:rPr>
          <w:rFonts w:cstheme="minorHAnsi"/>
        </w:rPr>
        <w:t xml:space="preserve">separate </w:t>
      </w:r>
      <w:r w:rsidRPr="001854DF">
        <w:rPr>
          <w:rFonts w:cstheme="minorHAnsi"/>
        </w:rPr>
        <w:t>offtakers</w:t>
      </w:r>
      <w:r>
        <w:rPr>
          <w:rFonts w:cstheme="minorHAnsi"/>
        </w:rPr>
        <w:t xml:space="preserve"> in tranches of </w:t>
      </w:r>
      <w:r w:rsidRPr="001854DF">
        <w:rPr>
          <w:rFonts w:cstheme="minorHAnsi"/>
        </w:rPr>
        <w:t xml:space="preserve">100MW.  </w:t>
      </w:r>
    </w:p>
    <w:p w:rsidR="001820B0" w:rsidRPr="001A7721" w:rsidRDefault="001820B0" w:rsidP="004B30C4">
      <w:pPr>
        <w:pStyle w:val="ListParagraph"/>
        <w:ind w:left="0"/>
        <w:rPr>
          <w:rFonts w:cstheme="minorHAnsi"/>
        </w:rPr>
      </w:pPr>
      <w:r>
        <w:rPr>
          <w:noProof/>
          <w:lang w:eastAsia="en-GB"/>
        </w:rPr>
        <mc:AlternateContent>
          <mc:Choice Requires="wps">
            <w:drawing>
              <wp:inline distT="0" distB="0" distL="0" distR="0" wp14:anchorId="2D7BD36D" wp14:editId="026AC2F6">
                <wp:extent cx="5621572" cy="1881963"/>
                <wp:effectExtent l="0" t="0" r="17780" b="2349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1572" cy="1881963"/>
                        </a:xfrm>
                        <a:prstGeom prst="rect">
                          <a:avLst/>
                        </a:prstGeom>
                        <a:solidFill>
                          <a:srgbClr val="FFFFFF"/>
                        </a:solidFill>
                        <a:ln w="9525">
                          <a:solidFill>
                            <a:srgbClr val="000000"/>
                          </a:solidFill>
                          <a:miter lim="800000"/>
                          <a:headEnd/>
                          <a:tailEnd/>
                        </a:ln>
                      </wps:spPr>
                      <wps:txbx>
                        <w:txbxContent>
                          <w:p w:rsidR="001820B0" w:rsidRDefault="001820B0" w:rsidP="004B30C4">
                            <w:pPr>
                              <w:ind w:left="426" w:hanging="426"/>
                            </w:pPr>
                            <w:r>
                              <w:t xml:space="preserve">Q3: </w:t>
                            </w:r>
                            <w:r>
                              <w:tab/>
                              <w:t xml:space="preserve">Do you agree that the inclusion of large projects in the scheme could pose issues in terms of (a) </w:t>
                            </w:r>
                            <w:r w:rsidRPr="00E86C8A">
                              <w:t>having a disproportionate impact on individual backstop offtakers, and (b) restricting competition for backstop PPAs (under competitive allocation)</w:t>
                            </w:r>
                            <w:r>
                              <w:t>, and that such projects may have less need for OLR protection?</w:t>
                            </w:r>
                          </w:p>
                          <w:p w:rsidR="001820B0" w:rsidRDefault="001820B0" w:rsidP="004B30C4">
                            <w:pPr>
                              <w:ind w:left="426" w:hanging="426"/>
                            </w:pPr>
                            <w:r>
                              <w:t xml:space="preserve">Q4:  </w:t>
                            </w:r>
                            <w:r>
                              <w:tab/>
                            </w:r>
                            <w:r w:rsidRPr="00A52AE8">
                              <w:rPr>
                                <w:color w:val="000000" w:themeColor="text1"/>
                              </w:rPr>
                              <w:t xml:space="preserve">Would it be feasible to split the output of large plants to solve the issues with </w:t>
                            </w:r>
                            <w:r>
                              <w:rPr>
                                <w:color w:val="000000" w:themeColor="text1"/>
                              </w:rPr>
                              <w:t xml:space="preserve">such </w:t>
                            </w:r>
                            <w:r w:rsidRPr="00A52AE8">
                              <w:rPr>
                                <w:color w:val="000000" w:themeColor="text1"/>
                              </w:rPr>
                              <w:t>project</w:t>
                            </w:r>
                            <w:r>
                              <w:rPr>
                                <w:color w:val="000000" w:themeColor="text1"/>
                              </w:rPr>
                              <w:t>s</w:t>
                            </w:r>
                            <w:r w:rsidRPr="00A52AE8">
                              <w:rPr>
                                <w:color w:val="000000" w:themeColor="text1"/>
                              </w:rPr>
                              <w:t xml:space="preserve"> entering the scheme?</w:t>
                            </w:r>
                            <w:r>
                              <w:rPr>
                                <w:color w:val="000000" w:themeColor="text1"/>
                              </w:rPr>
                              <w:t xml:space="preserve">  </w:t>
                            </w:r>
                            <w:r>
                              <w:t>Can you provide examples of a project’s output being split between two unaffiliated offtakers (where forecasting and trading are done independently) – for example offshore UJV structures?</w:t>
                            </w:r>
                          </w:p>
                        </w:txbxContent>
                      </wps:txbx>
                      <wps:bodyPr rot="0" vert="horz" wrap="square" lIns="91440" tIns="45720" rIns="91440" bIns="45720" anchor="t" anchorCtr="0">
                        <a:noAutofit/>
                      </wps:bodyPr>
                    </wps:wsp>
                  </a:graphicData>
                </a:graphic>
              </wp:inline>
            </w:drawing>
          </mc:Choice>
          <mc:Fallback>
            <w:pict>
              <v:shape id="Text Box 2" o:spid="_x0000_s1027" type="#_x0000_t202" style="width:442.65pt;height:14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">
                <v:textbox>
                  <w:txbxContent>
                    <w:p w:rsidR="001820B0" w:rsidRDefault="001820B0" w:rsidP="004B30C4">
                      <w:pPr>
                        <w:ind w:left="426" w:hanging="426"/>
                      </w:pPr>
                      <w:r>
                        <w:t xml:space="preserve">Q3: </w:t>
                      </w:r>
                      <w:r>
                        <w:tab/>
                        <w:t xml:space="preserve">Do you agree that the inclusion of large projects in the scheme could pose issues in terms of (a) </w:t>
                      </w:r>
                      <w:r w:rsidRPr="00E86C8A">
                        <w:t>having a disproportionate impact on individual backstop offtakers, and (b) restricting competition for backstop PPAs (under competitive allocation)</w:t>
                      </w:r>
                      <w:r w:rsidRPr="00E86C8A">
                        <w:annotationRef/>
                      </w:r>
                      <w:r>
                        <w:t>, and that such projects may have less need for OLR protection?</w:t>
                      </w:r>
                    </w:p>
                    <w:p w:rsidR="001820B0" w:rsidRDefault="001820B0" w:rsidP="004B30C4">
                      <w:pPr>
                        <w:ind w:left="426" w:hanging="426"/>
                      </w:pPr>
                      <w:r>
                        <w:t xml:space="preserve">Q4:  </w:t>
                      </w:r>
                      <w:r>
                        <w:tab/>
                      </w:r>
                      <w:r w:rsidRPr="00A52AE8">
                        <w:rPr>
                          <w:color w:val="000000" w:themeColor="text1"/>
                        </w:rPr>
                        <w:t xml:space="preserve">Would it be feasible to split the output of large plants to solve the issues with </w:t>
                      </w:r>
                      <w:r>
                        <w:rPr>
                          <w:color w:val="000000" w:themeColor="text1"/>
                        </w:rPr>
                        <w:t xml:space="preserve">such </w:t>
                      </w:r>
                      <w:r w:rsidRPr="00A52AE8">
                        <w:rPr>
                          <w:color w:val="000000" w:themeColor="text1"/>
                        </w:rPr>
                        <w:t>project</w:t>
                      </w:r>
                      <w:r>
                        <w:rPr>
                          <w:color w:val="000000" w:themeColor="text1"/>
                        </w:rPr>
                        <w:t>s</w:t>
                      </w:r>
                      <w:r w:rsidRPr="00A52AE8">
                        <w:rPr>
                          <w:color w:val="000000" w:themeColor="text1"/>
                        </w:rPr>
                        <w:t xml:space="preserve"> entering the scheme?</w:t>
                      </w:r>
                      <w:r>
                        <w:rPr>
                          <w:color w:val="000000" w:themeColor="text1"/>
                        </w:rPr>
                        <w:t xml:space="preserve">  </w:t>
                      </w:r>
                      <w:r>
                        <w:t>Can you provide examples of a project’s output being split between two unaffiliated offtakers (where forecasting and trading are done independently) – for example offshore UJV structures?</w:t>
                      </w:r>
                    </w:p>
                  </w:txbxContent>
                </v:textbox>
                <w10:anchorlock/>
              </v:shape>
            </w:pict>
          </mc:Fallback>
        </mc:AlternateContent>
      </w:r>
    </w:p>
    <w:p w:rsidR="00C554E9" w:rsidRPr="007B1FD8" w:rsidRDefault="007958DB" w:rsidP="007B1FD8">
      <w:pPr>
        <w:spacing w:after="0"/>
        <w:ind w:left="-6"/>
        <w:rPr>
          <w:rFonts w:cstheme="minorHAnsi"/>
        </w:rPr>
      </w:pPr>
      <w:r>
        <w:rPr>
          <w:rFonts w:cstheme="minorHAnsi"/>
          <w:noProof/>
          <w:lang w:eastAsia="en-GB"/>
        </w:rPr>
        <w:lastRenderedPageBreak/>
        <w:drawing>
          <wp:inline distT="0" distB="0" distL="0" distR="0" wp14:anchorId="7E998E11" wp14:editId="63EC2C7E">
            <wp:extent cx="5608955" cy="8010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955" cy="8010525"/>
                    </a:xfrm>
                    <a:prstGeom prst="rect">
                      <a:avLst/>
                    </a:prstGeom>
                    <a:noFill/>
                  </pic:spPr>
                </pic:pic>
              </a:graphicData>
            </a:graphic>
          </wp:inline>
        </w:drawing>
      </w:r>
    </w:p>
    <w:p w:rsidR="00125DF7" w:rsidRDefault="00125DF7" w:rsidP="007B1FD8">
      <w:pPr>
        <w:pStyle w:val="Caption"/>
        <w:spacing w:after="0"/>
        <w:rPr>
          <w:rFonts w:cstheme="minorHAnsi"/>
        </w:rPr>
      </w:pPr>
      <w:r>
        <w:t xml:space="preserve">Figure </w:t>
      </w:r>
      <w:fldSimple w:instr=" SEQ Figure \* ARABIC ">
        <w:r>
          <w:rPr>
            <w:noProof/>
          </w:rPr>
          <w:t>1</w:t>
        </w:r>
      </w:fldSimple>
      <w:r>
        <w:t xml:space="preserve"> and 2 – The capacity distribution of onshore and offshore </w:t>
      </w:r>
      <w:r w:rsidR="007958DB">
        <w:t xml:space="preserve">wind </w:t>
      </w:r>
      <w:r>
        <w:t xml:space="preserve">projects within the planning system, by number of projects (Fig1) and by total capacity (Fig2). </w:t>
      </w:r>
      <w:r w:rsidR="00484618">
        <w:t>[Source</w:t>
      </w:r>
      <w:r w:rsidR="00484618" w:rsidRPr="00484618">
        <w:t>: RESTATS]</w:t>
      </w:r>
    </w:p>
    <w:p w:rsidR="00125DF7" w:rsidRPr="00125DF7" w:rsidRDefault="00125DF7" w:rsidP="00125DF7">
      <w:pPr>
        <w:rPr>
          <w:rFonts w:cstheme="minorHAnsi"/>
        </w:rPr>
      </w:pPr>
    </w:p>
    <w:p w:rsidR="00203463" w:rsidRPr="007B1FD8" w:rsidRDefault="00203463" w:rsidP="007B1FD8">
      <w:pPr>
        <w:rPr>
          <w:rFonts w:cstheme="minorHAnsi"/>
        </w:rPr>
      </w:pPr>
    </w:p>
    <w:p w:rsidR="007A7270" w:rsidRPr="007A7270" w:rsidRDefault="007A7270" w:rsidP="00A666A3">
      <w:pPr>
        <w:pStyle w:val="ListParagraph"/>
        <w:numPr>
          <w:ilvl w:val="1"/>
          <w:numId w:val="14"/>
        </w:numPr>
        <w:ind w:left="567" w:hanging="567"/>
        <w:contextualSpacing w:val="0"/>
        <w:rPr>
          <w:rFonts w:cstheme="minorHAnsi"/>
          <w:b/>
        </w:rPr>
      </w:pPr>
      <w:r w:rsidRPr="007A7270">
        <w:rPr>
          <w:rFonts w:cstheme="minorHAnsi"/>
          <w:b/>
        </w:rPr>
        <w:lastRenderedPageBreak/>
        <w:t>Investment Contract projects</w:t>
      </w:r>
    </w:p>
    <w:p w:rsidR="007A7270" w:rsidRPr="007A7270" w:rsidRDefault="007A7270" w:rsidP="00A666A3">
      <w:pPr>
        <w:pStyle w:val="ListParagraph"/>
        <w:numPr>
          <w:ilvl w:val="1"/>
          <w:numId w:val="14"/>
        </w:numPr>
        <w:ind w:left="567" w:hanging="567"/>
        <w:contextualSpacing w:val="0"/>
        <w:rPr>
          <w:rFonts w:cstheme="minorHAnsi"/>
        </w:rPr>
      </w:pPr>
      <w:r w:rsidRPr="007A7270">
        <w:rPr>
          <w:rFonts w:cstheme="minorHAnsi"/>
        </w:rPr>
        <w:t xml:space="preserve">Under the </w:t>
      </w:r>
      <w:proofErr w:type="spellStart"/>
      <w:r w:rsidRPr="007A7270">
        <w:rPr>
          <w:rFonts w:cstheme="minorHAnsi"/>
        </w:rPr>
        <w:t>FIDeR</w:t>
      </w:r>
      <w:proofErr w:type="spellEnd"/>
      <w:r w:rsidRPr="007A7270">
        <w:rPr>
          <w:rFonts w:cstheme="minorHAnsi"/>
        </w:rPr>
        <w:t xml:space="preserve"> process, </w:t>
      </w:r>
      <w:r w:rsidR="00E86C8A">
        <w:rPr>
          <w:rFonts w:cstheme="minorHAnsi"/>
        </w:rPr>
        <w:t xml:space="preserve">certain </w:t>
      </w:r>
      <w:r w:rsidRPr="007A7270">
        <w:rPr>
          <w:rFonts w:cstheme="minorHAnsi"/>
        </w:rPr>
        <w:t xml:space="preserve">projects that need to make </w:t>
      </w:r>
      <w:r w:rsidR="00E86C8A">
        <w:rPr>
          <w:rFonts w:cstheme="minorHAnsi"/>
        </w:rPr>
        <w:t xml:space="preserve">final investment </w:t>
      </w:r>
      <w:r w:rsidRPr="007A7270">
        <w:rPr>
          <w:rFonts w:cstheme="minorHAnsi"/>
        </w:rPr>
        <w:t xml:space="preserve">decisions before the CfD is in place are able to </w:t>
      </w:r>
      <w:r w:rsidR="00E86C8A">
        <w:rPr>
          <w:rFonts w:cstheme="minorHAnsi"/>
        </w:rPr>
        <w:t xml:space="preserve">apply </w:t>
      </w:r>
      <w:r w:rsidRPr="007A7270">
        <w:rPr>
          <w:rFonts w:cstheme="minorHAnsi"/>
        </w:rPr>
        <w:t>for Investment Contracts (ICs)</w:t>
      </w:r>
      <w:r w:rsidR="00E86C8A">
        <w:rPr>
          <w:rFonts w:cstheme="minorHAnsi"/>
        </w:rPr>
        <w:t xml:space="preserve"> – a form of early CfD</w:t>
      </w:r>
      <w:r w:rsidRPr="007A7270">
        <w:rPr>
          <w:rFonts w:cstheme="minorHAnsi"/>
        </w:rPr>
        <w:t>.  ICs are being designed to be as consistent with the enduring CfD as possible, with identical strike prices and key commercial terms under both schemes.</w:t>
      </w:r>
    </w:p>
    <w:p w:rsidR="007A7270" w:rsidRPr="007A7270" w:rsidRDefault="00E86C8A" w:rsidP="00A666A3">
      <w:pPr>
        <w:pStyle w:val="ListParagraph"/>
        <w:numPr>
          <w:ilvl w:val="1"/>
          <w:numId w:val="14"/>
        </w:numPr>
        <w:ind w:left="567" w:hanging="567"/>
        <w:contextualSpacing w:val="0"/>
        <w:rPr>
          <w:rFonts w:cstheme="minorHAnsi"/>
        </w:rPr>
      </w:pPr>
      <w:r>
        <w:rPr>
          <w:rFonts w:cstheme="minorHAnsi"/>
        </w:rPr>
        <w:t xml:space="preserve">Developers seeking ICs are </w:t>
      </w:r>
      <w:r w:rsidR="007A7270">
        <w:rPr>
          <w:rFonts w:cstheme="minorHAnsi"/>
        </w:rPr>
        <w:t>appl</w:t>
      </w:r>
      <w:r>
        <w:rPr>
          <w:rFonts w:cstheme="minorHAnsi"/>
        </w:rPr>
        <w:t>ying</w:t>
      </w:r>
      <w:r w:rsidR="007A7270">
        <w:rPr>
          <w:rFonts w:cstheme="minorHAnsi"/>
        </w:rPr>
        <w:t xml:space="preserve"> for them </w:t>
      </w:r>
      <w:r w:rsidR="007A7270" w:rsidRPr="007A7270">
        <w:rPr>
          <w:rFonts w:cstheme="minorHAnsi"/>
        </w:rPr>
        <w:t xml:space="preserve">without the expectation that an OLR mechanism will be in place or any knowledge over how the mechanism might operate.  Investors/lenders </w:t>
      </w:r>
      <w:r>
        <w:rPr>
          <w:rFonts w:cstheme="minorHAnsi"/>
        </w:rPr>
        <w:t xml:space="preserve">must therefore </w:t>
      </w:r>
      <w:r w:rsidR="007A7270" w:rsidRPr="007A7270">
        <w:rPr>
          <w:rFonts w:cstheme="minorHAnsi"/>
        </w:rPr>
        <w:t xml:space="preserve">be sufficiently comfortable with the regime such that they </w:t>
      </w:r>
      <w:r>
        <w:rPr>
          <w:rFonts w:cstheme="minorHAnsi"/>
        </w:rPr>
        <w:t>a</w:t>
      </w:r>
      <w:r w:rsidR="007A7270" w:rsidRPr="007A7270">
        <w:rPr>
          <w:rFonts w:cstheme="minorHAnsi"/>
        </w:rPr>
        <w:t xml:space="preserve">re </w:t>
      </w:r>
      <w:r>
        <w:rPr>
          <w:rFonts w:cstheme="minorHAnsi"/>
        </w:rPr>
        <w:t>happy</w:t>
      </w:r>
      <w:r w:rsidR="007A7270" w:rsidRPr="007A7270">
        <w:rPr>
          <w:rFonts w:cstheme="minorHAnsi"/>
        </w:rPr>
        <w:t xml:space="preserve"> to </w:t>
      </w:r>
      <w:r w:rsidR="007A7270">
        <w:rPr>
          <w:rFonts w:cstheme="minorHAnsi"/>
        </w:rPr>
        <w:t xml:space="preserve">proceed with their application </w:t>
      </w:r>
      <w:r w:rsidR="007A7270" w:rsidRPr="007A7270">
        <w:rPr>
          <w:rFonts w:cstheme="minorHAnsi"/>
        </w:rPr>
        <w:t>without the OLR.</w:t>
      </w:r>
    </w:p>
    <w:p w:rsidR="007A7270" w:rsidRPr="007A7270" w:rsidRDefault="007A7270" w:rsidP="00A666A3">
      <w:pPr>
        <w:pStyle w:val="ListParagraph"/>
        <w:numPr>
          <w:ilvl w:val="1"/>
          <w:numId w:val="14"/>
        </w:numPr>
        <w:ind w:left="567" w:hanging="567"/>
        <w:contextualSpacing w:val="0"/>
        <w:rPr>
          <w:rFonts w:cstheme="minorHAnsi"/>
        </w:rPr>
      </w:pPr>
      <w:r w:rsidRPr="007A7270">
        <w:rPr>
          <w:rFonts w:cstheme="minorHAnsi"/>
        </w:rPr>
        <w:t>As such, inclusion of IC projects within the OLR will provide these projects with an unnecessary and unexpected benefit.  For this reason we do not intend to allow IC projects access to the Backstop PPA.</w:t>
      </w:r>
    </w:p>
    <w:p w:rsidR="007A7270" w:rsidRPr="00F52977" w:rsidRDefault="007A7270" w:rsidP="007A7270">
      <w:pPr>
        <w:jc w:val="both"/>
      </w:pPr>
      <w:r>
        <w:rPr>
          <w:noProof/>
          <w:lang w:eastAsia="en-GB"/>
        </w:rPr>
        <mc:AlternateContent>
          <mc:Choice Requires="wps">
            <w:drawing>
              <wp:inline distT="0" distB="0" distL="0" distR="0" wp14:anchorId="286BB204" wp14:editId="4698FCEC">
                <wp:extent cx="5621572" cy="1403985"/>
                <wp:effectExtent l="0" t="0" r="17780" b="22225"/>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1572" cy="1403985"/>
                        </a:xfrm>
                        <a:prstGeom prst="rect">
                          <a:avLst/>
                        </a:prstGeom>
                        <a:solidFill>
                          <a:srgbClr val="FFFFFF"/>
                        </a:solidFill>
                        <a:ln w="9525">
                          <a:solidFill>
                            <a:srgbClr val="000000"/>
                          </a:solidFill>
                          <a:miter lim="800000"/>
                          <a:headEnd/>
                          <a:tailEnd/>
                        </a:ln>
                      </wps:spPr>
                      <wps:txbx>
                        <w:txbxContent>
                          <w:p w:rsidR="00164CAC" w:rsidRDefault="00164CAC" w:rsidP="004B30C4">
                            <w:pPr>
                              <w:ind w:left="426" w:hanging="426"/>
                            </w:pPr>
                            <w:r>
                              <w:t xml:space="preserve">Q5: </w:t>
                            </w:r>
                            <w:r w:rsidR="004B30C4">
                              <w:tab/>
                            </w:r>
                            <w:r>
                              <w:t xml:space="preserve">Do you agree that </w:t>
                            </w:r>
                            <w:r w:rsidR="00E86C8A">
                              <w:t>generators holding investment contracts</w:t>
                            </w:r>
                            <w:r>
                              <w:t xml:space="preserve"> should not be eligible for </w:t>
                            </w:r>
                            <w:r w:rsidR="00E86C8A">
                              <w:t>the OLR</w:t>
                            </w:r>
                            <w:r>
                              <w:t>?</w:t>
                            </w:r>
                          </w:p>
                        </w:txbxContent>
                      </wps:txbx>
                      <wps:bodyPr rot="0" vert="horz" wrap="square" lIns="91440" tIns="45720" rIns="91440" bIns="45720" anchor="t" anchorCtr="0">
                        <a:spAutoFit/>
                      </wps:bodyPr>
                    </wps:wsp>
                  </a:graphicData>
                </a:graphic>
              </wp:inline>
            </w:drawing>
          </mc:Choice>
          <mc:Fallback>
            <w:pict>
              <v:shape id="_x0000_s1028" type="#_x0000_t202" style="width:442.65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">
                <v:textbox style="mso-fit-shape-to-text:t">
                  <w:txbxContent>
                    <w:p w:rsidR="00164CAC" w:rsidRDefault="00164CAC" w:rsidP="004B30C4">
                      <w:pPr>
                        <w:ind w:left="426" w:hanging="426"/>
                      </w:pPr>
                      <w:r>
                        <w:t xml:space="preserve">Q5: </w:t>
                      </w:r>
                      <w:r w:rsidR="004B30C4">
                        <w:tab/>
                      </w:r>
                      <w:r>
                        <w:t xml:space="preserve">Do you agree that </w:t>
                      </w:r>
                      <w:r w:rsidR="00E86C8A">
                        <w:t>generators holding investment contracts</w:t>
                      </w:r>
                      <w:r>
                        <w:t xml:space="preserve"> should not be eligible for </w:t>
                      </w:r>
                      <w:r w:rsidR="00E86C8A">
                        <w:t>the OLR</w:t>
                      </w:r>
                      <w:r>
                        <w:t>?</w:t>
                      </w:r>
                    </w:p>
                  </w:txbxContent>
                </v:textbox>
                <w10:anchorlock/>
              </v:shape>
            </w:pict>
          </mc:Fallback>
        </mc:AlternateContent>
      </w:r>
    </w:p>
    <w:p w:rsidR="006C4EC4" w:rsidRPr="006C4EC4" w:rsidRDefault="006C4EC4" w:rsidP="007A7270">
      <w:pPr>
        <w:jc w:val="both"/>
      </w:pPr>
    </w:p>
    <w:sectPr w:rsidR="006C4EC4" w:rsidRPr="006C4EC4" w:rsidSect="00CC5367">
      <w:headerReference w:type="default" r:id="rId10"/>
      <w:footerReference w:type="default" r:id="rId11"/>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6E0" w:rsidRDefault="00D616E0" w:rsidP="005A0ACF">
      <w:pPr>
        <w:spacing w:after="0" w:line="240" w:lineRule="auto"/>
      </w:pPr>
      <w:r>
        <w:separator/>
      </w:r>
    </w:p>
  </w:endnote>
  <w:endnote w:type="continuationSeparator" w:id="0">
    <w:p w:rsidR="00D616E0" w:rsidRDefault="00D616E0" w:rsidP="005A0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613241"/>
      <w:docPartObj>
        <w:docPartGallery w:val="Page Numbers (Bottom of Page)"/>
        <w:docPartUnique/>
      </w:docPartObj>
    </w:sdtPr>
    <w:sdtEndPr>
      <w:rPr>
        <w:noProof/>
      </w:rPr>
    </w:sdtEndPr>
    <w:sdtContent>
      <w:p w:rsidR="00164CAC" w:rsidRDefault="00164CAC">
        <w:pPr>
          <w:pStyle w:val="Footer"/>
          <w:jc w:val="right"/>
        </w:pPr>
        <w:r>
          <w:fldChar w:fldCharType="begin"/>
        </w:r>
        <w:r>
          <w:instrText xml:space="preserve"> PAGE   \* MERGEFORMAT </w:instrText>
        </w:r>
        <w:r>
          <w:fldChar w:fldCharType="separate"/>
        </w:r>
        <w:r w:rsidR="001B2701">
          <w:rPr>
            <w:noProof/>
          </w:rPr>
          <w:t>1</w:t>
        </w:r>
        <w:r>
          <w:rPr>
            <w:noProof/>
          </w:rPr>
          <w:fldChar w:fldCharType="end"/>
        </w:r>
      </w:p>
    </w:sdtContent>
  </w:sdt>
  <w:p w:rsidR="00164CAC" w:rsidRDefault="00164C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6E0" w:rsidRDefault="00D616E0" w:rsidP="005A0ACF">
      <w:pPr>
        <w:spacing w:after="0" w:line="240" w:lineRule="auto"/>
      </w:pPr>
      <w:r>
        <w:separator/>
      </w:r>
    </w:p>
  </w:footnote>
  <w:footnote w:type="continuationSeparator" w:id="0">
    <w:p w:rsidR="00D616E0" w:rsidRDefault="00D616E0" w:rsidP="005A0ACF">
      <w:pPr>
        <w:spacing w:after="0" w:line="240" w:lineRule="auto"/>
      </w:pPr>
      <w:r>
        <w:continuationSeparator/>
      </w:r>
    </w:p>
  </w:footnote>
  <w:footnote w:id="1">
    <w:p w:rsidR="00164CAC" w:rsidRPr="005E131F" w:rsidRDefault="00164CAC" w:rsidP="00F517ED">
      <w:pPr>
        <w:pStyle w:val="FootnoteText"/>
        <w:rPr>
          <w:rFonts w:asciiTheme="minorHAnsi" w:hAnsiTheme="minorHAnsi" w:cstheme="minorHAnsi"/>
          <w:lang w:val="en-GB"/>
        </w:rPr>
      </w:pPr>
      <w:r w:rsidRPr="005E131F">
        <w:rPr>
          <w:rStyle w:val="FootnoteReference"/>
          <w:rFonts w:asciiTheme="minorHAnsi" w:hAnsiTheme="minorHAnsi" w:cstheme="minorHAnsi"/>
        </w:rPr>
        <w:footnoteRef/>
      </w:r>
      <w:r w:rsidRPr="005E131F">
        <w:rPr>
          <w:rFonts w:asciiTheme="minorHAnsi" w:hAnsiTheme="minorHAnsi" w:cstheme="minorHAnsi"/>
        </w:rPr>
        <w:t xml:space="preserve"> </w:t>
      </w:r>
      <w:proofErr w:type="gramStart"/>
      <w:r w:rsidRPr="005E131F">
        <w:rPr>
          <w:rFonts w:asciiTheme="minorHAnsi" w:hAnsiTheme="minorHAnsi" w:cstheme="minorHAnsi"/>
          <w:lang w:val="en-GB"/>
        </w:rPr>
        <w:t>Although access might be restricted during an initial period of the CfD (to be considered further in a separate paper</w:t>
      </w:r>
      <w:r>
        <w:rPr>
          <w:rFonts w:asciiTheme="minorHAnsi" w:hAnsiTheme="minorHAnsi" w:cstheme="minorHAnsi"/>
          <w:lang w:val="en-GB"/>
        </w:rPr>
        <w:t xml:space="preserve"> on Accessing the OLR</w:t>
      </w:r>
      <w:r w:rsidRPr="005E131F">
        <w:rPr>
          <w:rFonts w:asciiTheme="minorHAnsi" w:hAnsiTheme="minorHAnsi" w:cstheme="minorHAnsi"/>
          <w:lang w:val="en-GB"/>
        </w:rPr>
        <w:t>).</w:t>
      </w:r>
      <w:proofErr w:type="gramEnd"/>
    </w:p>
  </w:footnote>
  <w:footnote w:id="2">
    <w:p w:rsidR="0021355D" w:rsidRPr="00604939" w:rsidRDefault="0021355D" w:rsidP="0021355D">
      <w:pPr>
        <w:pStyle w:val="FootnoteText"/>
        <w:rPr>
          <w:lang w:val="en-GB"/>
        </w:rPr>
      </w:pPr>
      <w:r>
        <w:rPr>
          <w:rStyle w:val="FootnoteReference"/>
        </w:rPr>
        <w:footnoteRef/>
      </w:r>
      <w:r>
        <w:t xml:space="preserve"> </w:t>
      </w:r>
      <w:r w:rsidRPr="00604939">
        <w:rPr>
          <w:sz w:val="18"/>
          <w:lang w:val="en-GB"/>
        </w:rPr>
        <w:t>By ‘Mature’ we mean that the technologies have been deployed at commercial scale.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AC" w:rsidRPr="00804C8B" w:rsidRDefault="00164CAC" w:rsidP="002D3C56">
    <w:pPr>
      <w:pStyle w:val="Header"/>
      <w:rPr>
        <w:rFonts w:cstheme="minorHAnsi"/>
        <w:b/>
      </w:rPr>
    </w:pPr>
    <w:r>
      <w:rPr>
        <w:rFonts w:cstheme="minorHAnsi"/>
        <w:b/>
      </w:rPr>
      <w:t>OLRAG 2.</w:t>
    </w:r>
    <w:r w:rsidR="001B2701">
      <w:rPr>
        <w:rFonts w:cstheme="minorHAnsi"/>
        <w:b/>
      </w:rPr>
      <w:t>02</w:t>
    </w:r>
    <w:r w:rsidRPr="00804C8B">
      <w:rPr>
        <w:rFonts w:cstheme="minorHAnsi"/>
        <w:b/>
      </w:rPr>
      <w:t xml:space="preserve"> – </w:t>
    </w:r>
    <w:r>
      <w:rPr>
        <w:rFonts w:cstheme="minorHAnsi"/>
        <w:b/>
      </w:rPr>
      <w:t>Eligibility</w:t>
    </w:r>
    <w:r w:rsidRPr="00804C8B">
      <w:rPr>
        <w:rFonts w:cstheme="minorHAnsi"/>
        <w:b/>
      </w:rPr>
      <w:tab/>
      <w:t>DRAFT FOR DISCUSSION</w:t>
    </w:r>
    <w:r w:rsidRPr="00804C8B">
      <w:rPr>
        <w:rFonts w:cstheme="minorHAnsi"/>
        <w:b/>
      </w:rPr>
      <w:tab/>
    </w:r>
    <w:r w:rsidR="00C446F7">
      <w:rPr>
        <w:rFonts w:cstheme="minorHAnsi"/>
        <w:b/>
      </w:rPr>
      <w:t>16</w:t>
    </w:r>
    <w:r w:rsidRPr="00804C8B">
      <w:rPr>
        <w:rFonts w:cstheme="minorHAnsi"/>
        <w:b/>
      </w:rPr>
      <w:t xml:space="preserve"> October 2013</w:t>
    </w:r>
  </w:p>
  <w:p w:rsidR="00164CAC" w:rsidRDefault="00164C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0.5pt;height:127.5pt" o:bullet="t">
        <v:imagedata r:id="rId1" o:title="blue_bullet"/>
      </v:shape>
    </w:pict>
  </w:numPicBullet>
  <w:abstractNum w:abstractNumId="0">
    <w:nsid w:val="0BE502B8"/>
    <w:multiLevelType w:val="multilevel"/>
    <w:tmpl w:val="694C06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E9354D3"/>
    <w:multiLevelType w:val="multilevel"/>
    <w:tmpl w:val="B05C3D96"/>
    <w:lvl w:ilvl="0">
      <w:start w:val="2"/>
      <w:numFmt w:val="decimal"/>
      <w:lvlText w:val="%1."/>
      <w:lvlJc w:val="left"/>
      <w:pPr>
        <w:ind w:left="360" w:hanging="360"/>
      </w:pPr>
      <w:rPr>
        <w:rFonts w:hint="default"/>
      </w:rPr>
    </w:lvl>
    <w:lvl w:ilvl="1">
      <w:start w:val="1"/>
      <w:numFmt w:val="bullet"/>
      <w:lvlText w:val=""/>
      <w:lvlPicBulletId w:val="0"/>
      <w:lvlJc w:val="left"/>
      <w:pPr>
        <w:ind w:left="792" w:hanging="432"/>
      </w:pPr>
      <w:rPr>
        <w:rFonts w:ascii="Symbol" w:hAnsi="Symbol"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1477BCF"/>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1E95AB1"/>
    <w:multiLevelType w:val="multilevel"/>
    <w:tmpl w:val="719CF1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Roman"/>
      <w:lvlText w:val="%3."/>
      <w:lvlJc w:val="righ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266093F"/>
    <w:multiLevelType w:val="hybridMultilevel"/>
    <w:tmpl w:val="67A4808A"/>
    <w:lvl w:ilvl="0" w:tplc="3CFAB70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5D4253"/>
    <w:multiLevelType w:val="hybridMultilevel"/>
    <w:tmpl w:val="3E302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D7950D1"/>
    <w:multiLevelType w:val="multilevel"/>
    <w:tmpl w:val="8F9CFA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Roman"/>
      <w:lvlText w:val="%3."/>
      <w:lvlJc w:val="right"/>
      <w:pPr>
        <w:ind w:left="1224" w:hanging="504"/>
      </w:pPr>
      <w:rPr>
        <w:rFonts w:hint="default"/>
      </w:rPr>
    </w:lvl>
    <w:lvl w:ilvl="3">
      <w:start w:val="1"/>
      <w:numFmt w:val="lowerLetter"/>
      <w:lvlText w:val="%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035539C"/>
    <w:multiLevelType w:val="hybridMultilevel"/>
    <w:tmpl w:val="BA04E1D0"/>
    <w:lvl w:ilvl="0" w:tplc="20E8BF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4213827"/>
    <w:multiLevelType w:val="hybridMultilevel"/>
    <w:tmpl w:val="719AB46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245E700D"/>
    <w:multiLevelType w:val="hybridMultilevel"/>
    <w:tmpl w:val="E6F84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4603581"/>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575449B"/>
    <w:multiLevelType w:val="multilevel"/>
    <w:tmpl w:val="719CF1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Roman"/>
      <w:lvlText w:val="%3."/>
      <w:lvlJc w:val="righ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FC84BF8"/>
    <w:multiLevelType w:val="hybridMultilevel"/>
    <w:tmpl w:val="6066C798"/>
    <w:lvl w:ilvl="0" w:tplc="386CEF20">
      <w:start w:val="1"/>
      <w:numFmt w:val="lowerRoman"/>
      <w:lvlText w:val="%1."/>
      <w:lvlJc w:val="righ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2523861"/>
    <w:multiLevelType w:val="hybridMultilevel"/>
    <w:tmpl w:val="0A2CAE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39A67A1"/>
    <w:multiLevelType w:val="hybridMultilevel"/>
    <w:tmpl w:val="AB4AD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83221B2"/>
    <w:multiLevelType w:val="hybridMultilevel"/>
    <w:tmpl w:val="A84C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B2C5047"/>
    <w:multiLevelType w:val="hybridMultilevel"/>
    <w:tmpl w:val="2B76A7D6"/>
    <w:lvl w:ilvl="0" w:tplc="E5B85E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E4B717B"/>
    <w:multiLevelType w:val="hybridMultilevel"/>
    <w:tmpl w:val="719AB46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3F46112F"/>
    <w:multiLevelType w:val="hybridMultilevel"/>
    <w:tmpl w:val="719AB46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488613CE"/>
    <w:multiLevelType w:val="multilevel"/>
    <w:tmpl w:val="719CF1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Roman"/>
      <w:lvlText w:val="%3."/>
      <w:lvlJc w:val="righ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BF11F56"/>
    <w:multiLevelType w:val="hybridMultilevel"/>
    <w:tmpl w:val="5F6C4898"/>
    <w:lvl w:ilvl="0" w:tplc="4F1A32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D061269"/>
    <w:multiLevelType w:val="hybridMultilevel"/>
    <w:tmpl w:val="4274EF68"/>
    <w:lvl w:ilvl="0" w:tplc="33FA8296">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D696A26"/>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1BA036B"/>
    <w:multiLevelType w:val="hybridMultilevel"/>
    <w:tmpl w:val="2F24D518"/>
    <w:lvl w:ilvl="0" w:tplc="BFEEBB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21E1481"/>
    <w:multiLevelType w:val="multilevel"/>
    <w:tmpl w:val="719CF1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Roman"/>
      <w:lvlText w:val="%3."/>
      <w:lvlJc w:val="righ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5A8512B"/>
    <w:multiLevelType w:val="multilevel"/>
    <w:tmpl w:val="8F9CFA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Roman"/>
      <w:lvlText w:val="%3."/>
      <w:lvlJc w:val="right"/>
      <w:pPr>
        <w:ind w:left="1224" w:hanging="504"/>
      </w:pPr>
      <w:rPr>
        <w:rFonts w:hint="default"/>
      </w:rPr>
    </w:lvl>
    <w:lvl w:ilvl="3">
      <w:start w:val="1"/>
      <w:numFmt w:val="lowerLetter"/>
      <w:lvlText w:val="%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6013DCD"/>
    <w:multiLevelType w:val="hybridMultilevel"/>
    <w:tmpl w:val="396A0A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A106FC1"/>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0840481"/>
    <w:multiLevelType w:val="multilevel"/>
    <w:tmpl w:val="719CF1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Roman"/>
      <w:lvlText w:val="%3."/>
      <w:lvlJc w:val="righ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1315B33"/>
    <w:multiLevelType w:val="hybridMultilevel"/>
    <w:tmpl w:val="FC18E2BE"/>
    <w:lvl w:ilvl="0" w:tplc="1EF034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5681947"/>
    <w:multiLevelType w:val="hybridMultilevel"/>
    <w:tmpl w:val="D3F29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64E7D18"/>
    <w:multiLevelType w:val="hybridMultilevel"/>
    <w:tmpl w:val="F25C7A2E"/>
    <w:lvl w:ilvl="0" w:tplc="CAB65D2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AC3082C"/>
    <w:multiLevelType w:val="multilevel"/>
    <w:tmpl w:val="8F9CFA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Roman"/>
      <w:lvlText w:val="%3."/>
      <w:lvlJc w:val="right"/>
      <w:pPr>
        <w:ind w:left="1224" w:hanging="504"/>
      </w:pPr>
      <w:rPr>
        <w:rFonts w:hint="default"/>
      </w:rPr>
    </w:lvl>
    <w:lvl w:ilvl="3">
      <w:start w:val="1"/>
      <w:numFmt w:val="lowerLetter"/>
      <w:lvlText w:val="%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B1131E7"/>
    <w:multiLevelType w:val="multilevel"/>
    <w:tmpl w:val="719CF1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Roman"/>
      <w:lvlText w:val="%3."/>
      <w:lvlJc w:val="righ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cs="Courier New"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BA575B3"/>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53033E"/>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0"/>
  </w:num>
  <w:num w:numId="3">
    <w:abstractNumId w:val="1"/>
  </w:num>
  <w:num w:numId="4">
    <w:abstractNumId w:val="22"/>
  </w:num>
  <w:num w:numId="5">
    <w:abstractNumId w:val="2"/>
  </w:num>
  <w:num w:numId="6">
    <w:abstractNumId w:val="27"/>
  </w:num>
  <w:num w:numId="7">
    <w:abstractNumId w:val="17"/>
  </w:num>
  <w:num w:numId="8">
    <w:abstractNumId w:val="34"/>
  </w:num>
  <w:num w:numId="9">
    <w:abstractNumId w:val="8"/>
  </w:num>
  <w:num w:numId="10">
    <w:abstractNumId w:val="18"/>
  </w:num>
  <w:num w:numId="11">
    <w:abstractNumId w:val="35"/>
  </w:num>
  <w:num w:numId="12">
    <w:abstractNumId w:val="12"/>
  </w:num>
  <w:num w:numId="13">
    <w:abstractNumId w:val="21"/>
  </w:num>
  <w:num w:numId="14">
    <w:abstractNumId w:val="6"/>
  </w:num>
  <w:num w:numId="15">
    <w:abstractNumId w:val="26"/>
  </w:num>
  <w:num w:numId="16">
    <w:abstractNumId w:val="9"/>
  </w:num>
  <w:num w:numId="17">
    <w:abstractNumId w:val="15"/>
  </w:num>
  <w:num w:numId="18">
    <w:abstractNumId w:val="14"/>
  </w:num>
  <w:num w:numId="19">
    <w:abstractNumId w:val="30"/>
  </w:num>
  <w:num w:numId="20">
    <w:abstractNumId w:val="23"/>
  </w:num>
  <w:num w:numId="21">
    <w:abstractNumId w:val="5"/>
  </w:num>
  <w:num w:numId="22">
    <w:abstractNumId w:val="20"/>
  </w:num>
  <w:num w:numId="23">
    <w:abstractNumId w:val="16"/>
  </w:num>
  <w:num w:numId="24">
    <w:abstractNumId w:val="4"/>
  </w:num>
  <w:num w:numId="25">
    <w:abstractNumId w:val="31"/>
  </w:num>
  <w:num w:numId="26">
    <w:abstractNumId w:val="7"/>
  </w:num>
  <w:num w:numId="27">
    <w:abstractNumId w:val="29"/>
  </w:num>
  <w:num w:numId="28">
    <w:abstractNumId w:val="11"/>
  </w:num>
  <w:num w:numId="29">
    <w:abstractNumId w:val="33"/>
  </w:num>
  <w:num w:numId="30">
    <w:abstractNumId w:val="19"/>
  </w:num>
  <w:num w:numId="31">
    <w:abstractNumId w:val="28"/>
  </w:num>
  <w:num w:numId="32">
    <w:abstractNumId w:val="3"/>
  </w:num>
  <w:num w:numId="33">
    <w:abstractNumId w:val="24"/>
  </w:num>
  <w:num w:numId="34">
    <w:abstractNumId w:val="13"/>
  </w:num>
  <w:num w:numId="35">
    <w:abstractNumId w:val="25"/>
  </w:num>
  <w:num w:numId="36">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6E8"/>
    <w:rsid w:val="00010299"/>
    <w:rsid w:val="00011751"/>
    <w:rsid w:val="00013F64"/>
    <w:rsid w:val="000150C4"/>
    <w:rsid w:val="000225C5"/>
    <w:rsid w:val="00025930"/>
    <w:rsid w:val="00030BFC"/>
    <w:rsid w:val="00033D6B"/>
    <w:rsid w:val="000437BF"/>
    <w:rsid w:val="00047260"/>
    <w:rsid w:val="00054FD9"/>
    <w:rsid w:val="0005532F"/>
    <w:rsid w:val="000638B8"/>
    <w:rsid w:val="00070CA4"/>
    <w:rsid w:val="00076997"/>
    <w:rsid w:val="0007776B"/>
    <w:rsid w:val="00083D29"/>
    <w:rsid w:val="00083F25"/>
    <w:rsid w:val="0008468F"/>
    <w:rsid w:val="00084D95"/>
    <w:rsid w:val="00085AE2"/>
    <w:rsid w:val="00092B0A"/>
    <w:rsid w:val="000A1E4C"/>
    <w:rsid w:val="000A6456"/>
    <w:rsid w:val="000A6C21"/>
    <w:rsid w:val="000B557B"/>
    <w:rsid w:val="000C1A5F"/>
    <w:rsid w:val="000C2045"/>
    <w:rsid w:val="000D1641"/>
    <w:rsid w:val="000E05A1"/>
    <w:rsid w:val="000E51C2"/>
    <w:rsid w:val="000F6ADF"/>
    <w:rsid w:val="000F6FA9"/>
    <w:rsid w:val="00101688"/>
    <w:rsid w:val="00104DC7"/>
    <w:rsid w:val="00110B4D"/>
    <w:rsid w:val="00112015"/>
    <w:rsid w:val="00122A5D"/>
    <w:rsid w:val="00125DF7"/>
    <w:rsid w:val="00131DE4"/>
    <w:rsid w:val="00132FCA"/>
    <w:rsid w:val="00135403"/>
    <w:rsid w:val="00142C3D"/>
    <w:rsid w:val="001432E3"/>
    <w:rsid w:val="00150529"/>
    <w:rsid w:val="0015097C"/>
    <w:rsid w:val="00155A98"/>
    <w:rsid w:val="00157F2B"/>
    <w:rsid w:val="00164232"/>
    <w:rsid w:val="00164CAC"/>
    <w:rsid w:val="00167E73"/>
    <w:rsid w:val="001735FD"/>
    <w:rsid w:val="0017549C"/>
    <w:rsid w:val="001764A9"/>
    <w:rsid w:val="0018038A"/>
    <w:rsid w:val="001820B0"/>
    <w:rsid w:val="001854DF"/>
    <w:rsid w:val="0019066F"/>
    <w:rsid w:val="0019531D"/>
    <w:rsid w:val="0019674E"/>
    <w:rsid w:val="0019725F"/>
    <w:rsid w:val="001A17AC"/>
    <w:rsid w:val="001A1F30"/>
    <w:rsid w:val="001A35F9"/>
    <w:rsid w:val="001A68FD"/>
    <w:rsid w:val="001A7721"/>
    <w:rsid w:val="001B001D"/>
    <w:rsid w:val="001B2701"/>
    <w:rsid w:val="001B3606"/>
    <w:rsid w:val="001B593F"/>
    <w:rsid w:val="001C107F"/>
    <w:rsid w:val="001C17CB"/>
    <w:rsid w:val="001D1093"/>
    <w:rsid w:val="001D236E"/>
    <w:rsid w:val="001E4CD1"/>
    <w:rsid w:val="001F3377"/>
    <w:rsid w:val="001F4965"/>
    <w:rsid w:val="001F75E2"/>
    <w:rsid w:val="00203463"/>
    <w:rsid w:val="0020522E"/>
    <w:rsid w:val="00205401"/>
    <w:rsid w:val="00205D21"/>
    <w:rsid w:val="00206749"/>
    <w:rsid w:val="00206A5E"/>
    <w:rsid w:val="002078C5"/>
    <w:rsid w:val="0021039D"/>
    <w:rsid w:val="0021355D"/>
    <w:rsid w:val="00214CBF"/>
    <w:rsid w:val="00216C44"/>
    <w:rsid w:val="002208FD"/>
    <w:rsid w:val="00240731"/>
    <w:rsid w:val="00246EE6"/>
    <w:rsid w:val="002477C2"/>
    <w:rsid w:val="00261847"/>
    <w:rsid w:val="002634A0"/>
    <w:rsid w:val="0028189D"/>
    <w:rsid w:val="00281A41"/>
    <w:rsid w:val="00286B58"/>
    <w:rsid w:val="00292C51"/>
    <w:rsid w:val="002A180E"/>
    <w:rsid w:val="002A2284"/>
    <w:rsid w:val="002A72AE"/>
    <w:rsid w:val="002A782A"/>
    <w:rsid w:val="002A7EB8"/>
    <w:rsid w:val="002B058B"/>
    <w:rsid w:val="002D3C56"/>
    <w:rsid w:val="002E7615"/>
    <w:rsid w:val="002F3ACC"/>
    <w:rsid w:val="002F42D0"/>
    <w:rsid w:val="002F51B6"/>
    <w:rsid w:val="002F62C3"/>
    <w:rsid w:val="00306BE8"/>
    <w:rsid w:val="0031532C"/>
    <w:rsid w:val="003170CF"/>
    <w:rsid w:val="0032531E"/>
    <w:rsid w:val="00326448"/>
    <w:rsid w:val="003266ED"/>
    <w:rsid w:val="00335515"/>
    <w:rsid w:val="003460F0"/>
    <w:rsid w:val="00352E13"/>
    <w:rsid w:val="003744D5"/>
    <w:rsid w:val="00374930"/>
    <w:rsid w:val="00374A05"/>
    <w:rsid w:val="00383BF3"/>
    <w:rsid w:val="0038665F"/>
    <w:rsid w:val="003907D6"/>
    <w:rsid w:val="00391974"/>
    <w:rsid w:val="00391B55"/>
    <w:rsid w:val="00393F19"/>
    <w:rsid w:val="003B6A9E"/>
    <w:rsid w:val="003B7763"/>
    <w:rsid w:val="003C11FF"/>
    <w:rsid w:val="003C1F1D"/>
    <w:rsid w:val="003C637D"/>
    <w:rsid w:val="003D07CC"/>
    <w:rsid w:val="003D206D"/>
    <w:rsid w:val="003D2721"/>
    <w:rsid w:val="003D567E"/>
    <w:rsid w:val="003D5B04"/>
    <w:rsid w:val="003E2108"/>
    <w:rsid w:val="003E349B"/>
    <w:rsid w:val="003E4277"/>
    <w:rsid w:val="003F1444"/>
    <w:rsid w:val="00400576"/>
    <w:rsid w:val="004031AC"/>
    <w:rsid w:val="00404C59"/>
    <w:rsid w:val="00410938"/>
    <w:rsid w:val="00414500"/>
    <w:rsid w:val="00420B91"/>
    <w:rsid w:val="00421785"/>
    <w:rsid w:val="00425C72"/>
    <w:rsid w:val="00426AA0"/>
    <w:rsid w:val="00434196"/>
    <w:rsid w:val="004376EC"/>
    <w:rsid w:val="00440ABA"/>
    <w:rsid w:val="00443E5C"/>
    <w:rsid w:val="004466F6"/>
    <w:rsid w:val="0045159E"/>
    <w:rsid w:val="004564AC"/>
    <w:rsid w:val="00460937"/>
    <w:rsid w:val="00463128"/>
    <w:rsid w:val="00484618"/>
    <w:rsid w:val="00486309"/>
    <w:rsid w:val="004917A5"/>
    <w:rsid w:val="00491B7F"/>
    <w:rsid w:val="00491EE1"/>
    <w:rsid w:val="0049798F"/>
    <w:rsid w:val="00497DCA"/>
    <w:rsid w:val="004A0192"/>
    <w:rsid w:val="004A3051"/>
    <w:rsid w:val="004A76E8"/>
    <w:rsid w:val="004B1D37"/>
    <w:rsid w:val="004B30C4"/>
    <w:rsid w:val="004B4FAB"/>
    <w:rsid w:val="004B5584"/>
    <w:rsid w:val="004C0F18"/>
    <w:rsid w:val="004C304C"/>
    <w:rsid w:val="004C6B2F"/>
    <w:rsid w:val="004D3F95"/>
    <w:rsid w:val="004D5799"/>
    <w:rsid w:val="004E41C3"/>
    <w:rsid w:val="004E610E"/>
    <w:rsid w:val="004F3DDD"/>
    <w:rsid w:val="004F478D"/>
    <w:rsid w:val="004F580E"/>
    <w:rsid w:val="004F5E7A"/>
    <w:rsid w:val="0050158A"/>
    <w:rsid w:val="00501BA6"/>
    <w:rsid w:val="00503B04"/>
    <w:rsid w:val="00510360"/>
    <w:rsid w:val="00510784"/>
    <w:rsid w:val="00515280"/>
    <w:rsid w:val="005206E2"/>
    <w:rsid w:val="00522B58"/>
    <w:rsid w:val="0053153D"/>
    <w:rsid w:val="0053182B"/>
    <w:rsid w:val="0053199C"/>
    <w:rsid w:val="005336DA"/>
    <w:rsid w:val="00534962"/>
    <w:rsid w:val="00544B5B"/>
    <w:rsid w:val="0055377B"/>
    <w:rsid w:val="00553B4A"/>
    <w:rsid w:val="00554D1D"/>
    <w:rsid w:val="005578BC"/>
    <w:rsid w:val="00560C25"/>
    <w:rsid w:val="00561563"/>
    <w:rsid w:val="00572ABE"/>
    <w:rsid w:val="00576BC5"/>
    <w:rsid w:val="005A0ACF"/>
    <w:rsid w:val="005A0FE4"/>
    <w:rsid w:val="005A4AC9"/>
    <w:rsid w:val="005B1815"/>
    <w:rsid w:val="005B1B4F"/>
    <w:rsid w:val="005C1149"/>
    <w:rsid w:val="005D0402"/>
    <w:rsid w:val="005D4D09"/>
    <w:rsid w:val="005D52C8"/>
    <w:rsid w:val="005D5F22"/>
    <w:rsid w:val="005E7AC6"/>
    <w:rsid w:val="005F524E"/>
    <w:rsid w:val="00604939"/>
    <w:rsid w:val="0061228A"/>
    <w:rsid w:val="00612CE0"/>
    <w:rsid w:val="0061664A"/>
    <w:rsid w:val="0062396E"/>
    <w:rsid w:val="00632D50"/>
    <w:rsid w:val="00632F71"/>
    <w:rsid w:val="00637027"/>
    <w:rsid w:val="006371DD"/>
    <w:rsid w:val="00643DA3"/>
    <w:rsid w:val="00647669"/>
    <w:rsid w:val="0066148C"/>
    <w:rsid w:val="00675E5C"/>
    <w:rsid w:val="00675FDB"/>
    <w:rsid w:val="00676AD2"/>
    <w:rsid w:val="00684B2D"/>
    <w:rsid w:val="00686F4A"/>
    <w:rsid w:val="00692DAE"/>
    <w:rsid w:val="00693D70"/>
    <w:rsid w:val="00695939"/>
    <w:rsid w:val="00697E5C"/>
    <w:rsid w:val="006A59CE"/>
    <w:rsid w:val="006A6BE8"/>
    <w:rsid w:val="006B6DFD"/>
    <w:rsid w:val="006C108C"/>
    <w:rsid w:val="006C194D"/>
    <w:rsid w:val="006C37F5"/>
    <w:rsid w:val="006C4DD3"/>
    <w:rsid w:val="006C4EC4"/>
    <w:rsid w:val="006C59DF"/>
    <w:rsid w:val="006C6CB4"/>
    <w:rsid w:val="006D387F"/>
    <w:rsid w:val="006E2ABB"/>
    <w:rsid w:val="006F7175"/>
    <w:rsid w:val="00701F99"/>
    <w:rsid w:val="0070603A"/>
    <w:rsid w:val="00706192"/>
    <w:rsid w:val="007114AD"/>
    <w:rsid w:val="00711933"/>
    <w:rsid w:val="007233EB"/>
    <w:rsid w:val="007322FB"/>
    <w:rsid w:val="007364BB"/>
    <w:rsid w:val="0074109F"/>
    <w:rsid w:val="0075126B"/>
    <w:rsid w:val="0075304B"/>
    <w:rsid w:val="00756078"/>
    <w:rsid w:val="007570C9"/>
    <w:rsid w:val="00761793"/>
    <w:rsid w:val="007617AF"/>
    <w:rsid w:val="0076458B"/>
    <w:rsid w:val="00767B9B"/>
    <w:rsid w:val="00784F03"/>
    <w:rsid w:val="007852BB"/>
    <w:rsid w:val="00787A99"/>
    <w:rsid w:val="00791DBF"/>
    <w:rsid w:val="007958DB"/>
    <w:rsid w:val="007A019A"/>
    <w:rsid w:val="007A7270"/>
    <w:rsid w:val="007B1055"/>
    <w:rsid w:val="007B1483"/>
    <w:rsid w:val="007B1FD8"/>
    <w:rsid w:val="007B5915"/>
    <w:rsid w:val="007B6FE7"/>
    <w:rsid w:val="007C794F"/>
    <w:rsid w:val="007D0147"/>
    <w:rsid w:val="007D31CF"/>
    <w:rsid w:val="007D70CA"/>
    <w:rsid w:val="007E1DB7"/>
    <w:rsid w:val="007E2FB7"/>
    <w:rsid w:val="007E423A"/>
    <w:rsid w:val="007E73B6"/>
    <w:rsid w:val="00800CA3"/>
    <w:rsid w:val="00806C61"/>
    <w:rsid w:val="0081131B"/>
    <w:rsid w:val="00811E08"/>
    <w:rsid w:val="00813D6F"/>
    <w:rsid w:val="00814643"/>
    <w:rsid w:val="00816EA9"/>
    <w:rsid w:val="0082691B"/>
    <w:rsid w:val="008270E0"/>
    <w:rsid w:val="0084463C"/>
    <w:rsid w:val="00844C6C"/>
    <w:rsid w:val="008518C0"/>
    <w:rsid w:val="00852174"/>
    <w:rsid w:val="00855362"/>
    <w:rsid w:val="0085670A"/>
    <w:rsid w:val="00860238"/>
    <w:rsid w:val="0086108F"/>
    <w:rsid w:val="008634B0"/>
    <w:rsid w:val="0086492E"/>
    <w:rsid w:val="00881CC0"/>
    <w:rsid w:val="0088301D"/>
    <w:rsid w:val="0088442D"/>
    <w:rsid w:val="008859F2"/>
    <w:rsid w:val="00895B11"/>
    <w:rsid w:val="00896660"/>
    <w:rsid w:val="008A1243"/>
    <w:rsid w:val="008A5FDA"/>
    <w:rsid w:val="008B0EAA"/>
    <w:rsid w:val="008B6660"/>
    <w:rsid w:val="008C3BE8"/>
    <w:rsid w:val="008C48F8"/>
    <w:rsid w:val="008C50EA"/>
    <w:rsid w:val="008C6ECB"/>
    <w:rsid w:val="008C74AD"/>
    <w:rsid w:val="008C7BD4"/>
    <w:rsid w:val="008D3FEE"/>
    <w:rsid w:val="008D540C"/>
    <w:rsid w:val="008F0C20"/>
    <w:rsid w:val="008F0D93"/>
    <w:rsid w:val="008F27ED"/>
    <w:rsid w:val="008F3062"/>
    <w:rsid w:val="008F490D"/>
    <w:rsid w:val="008F71CD"/>
    <w:rsid w:val="009002A3"/>
    <w:rsid w:val="009017E7"/>
    <w:rsid w:val="00901B1F"/>
    <w:rsid w:val="00906C2B"/>
    <w:rsid w:val="00910365"/>
    <w:rsid w:val="00931710"/>
    <w:rsid w:val="009357D2"/>
    <w:rsid w:val="00943B0B"/>
    <w:rsid w:val="00954254"/>
    <w:rsid w:val="0095561A"/>
    <w:rsid w:val="00962CCE"/>
    <w:rsid w:val="00963EBC"/>
    <w:rsid w:val="0096738B"/>
    <w:rsid w:val="0096797F"/>
    <w:rsid w:val="00973276"/>
    <w:rsid w:val="009779D9"/>
    <w:rsid w:val="0099201A"/>
    <w:rsid w:val="009920CE"/>
    <w:rsid w:val="009950CE"/>
    <w:rsid w:val="00996077"/>
    <w:rsid w:val="009A36DD"/>
    <w:rsid w:val="009A5A89"/>
    <w:rsid w:val="009B2B63"/>
    <w:rsid w:val="009D008F"/>
    <w:rsid w:val="009D2A1D"/>
    <w:rsid w:val="009D2FEC"/>
    <w:rsid w:val="009D5CD1"/>
    <w:rsid w:val="009D6605"/>
    <w:rsid w:val="009D7E08"/>
    <w:rsid w:val="009E3B59"/>
    <w:rsid w:val="009E55CB"/>
    <w:rsid w:val="009E7D4B"/>
    <w:rsid w:val="009E7D8B"/>
    <w:rsid w:val="009F1E08"/>
    <w:rsid w:val="009F3304"/>
    <w:rsid w:val="009F488A"/>
    <w:rsid w:val="009F6E70"/>
    <w:rsid w:val="00A01936"/>
    <w:rsid w:val="00A0391C"/>
    <w:rsid w:val="00A208A3"/>
    <w:rsid w:val="00A2796F"/>
    <w:rsid w:val="00A305F2"/>
    <w:rsid w:val="00A35479"/>
    <w:rsid w:val="00A4107F"/>
    <w:rsid w:val="00A42F0A"/>
    <w:rsid w:val="00A45B27"/>
    <w:rsid w:val="00A51AFD"/>
    <w:rsid w:val="00A51DE5"/>
    <w:rsid w:val="00A52AE8"/>
    <w:rsid w:val="00A6580E"/>
    <w:rsid w:val="00A660D3"/>
    <w:rsid w:val="00A666A3"/>
    <w:rsid w:val="00A67985"/>
    <w:rsid w:val="00A776F0"/>
    <w:rsid w:val="00A81636"/>
    <w:rsid w:val="00A83B4A"/>
    <w:rsid w:val="00A911AB"/>
    <w:rsid w:val="00A92D7D"/>
    <w:rsid w:val="00AA6311"/>
    <w:rsid w:val="00AA6890"/>
    <w:rsid w:val="00AB1084"/>
    <w:rsid w:val="00AC2975"/>
    <w:rsid w:val="00AD31D9"/>
    <w:rsid w:val="00AD3727"/>
    <w:rsid w:val="00AD58A2"/>
    <w:rsid w:val="00AE1003"/>
    <w:rsid w:val="00AE37F6"/>
    <w:rsid w:val="00AE44C5"/>
    <w:rsid w:val="00AE554A"/>
    <w:rsid w:val="00AE5BB1"/>
    <w:rsid w:val="00B05FFC"/>
    <w:rsid w:val="00B077CF"/>
    <w:rsid w:val="00B17225"/>
    <w:rsid w:val="00B1781D"/>
    <w:rsid w:val="00B236D5"/>
    <w:rsid w:val="00B244CA"/>
    <w:rsid w:val="00B30415"/>
    <w:rsid w:val="00B31D16"/>
    <w:rsid w:val="00B31EFE"/>
    <w:rsid w:val="00B34473"/>
    <w:rsid w:val="00B42337"/>
    <w:rsid w:val="00B42406"/>
    <w:rsid w:val="00B44914"/>
    <w:rsid w:val="00B549EC"/>
    <w:rsid w:val="00B56F61"/>
    <w:rsid w:val="00B57CB8"/>
    <w:rsid w:val="00B617BC"/>
    <w:rsid w:val="00B62EC8"/>
    <w:rsid w:val="00B63027"/>
    <w:rsid w:val="00B6307E"/>
    <w:rsid w:val="00B641EA"/>
    <w:rsid w:val="00B64588"/>
    <w:rsid w:val="00B66029"/>
    <w:rsid w:val="00B746A8"/>
    <w:rsid w:val="00B77D37"/>
    <w:rsid w:val="00B80A38"/>
    <w:rsid w:val="00B826AD"/>
    <w:rsid w:val="00B87484"/>
    <w:rsid w:val="00B91B7B"/>
    <w:rsid w:val="00B9378A"/>
    <w:rsid w:val="00B9570E"/>
    <w:rsid w:val="00B9581C"/>
    <w:rsid w:val="00BA0FB9"/>
    <w:rsid w:val="00BA13E4"/>
    <w:rsid w:val="00BB1ECD"/>
    <w:rsid w:val="00BB4FAA"/>
    <w:rsid w:val="00BB566A"/>
    <w:rsid w:val="00BC5444"/>
    <w:rsid w:val="00BD637B"/>
    <w:rsid w:val="00BE3E95"/>
    <w:rsid w:val="00BE5331"/>
    <w:rsid w:val="00BF1104"/>
    <w:rsid w:val="00BF7E89"/>
    <w:rsid w:val="00C00F81"/>
    <w:rsid w:val="00C01442"/>
    <w:rsid w:val="00C01B60"/>
    <w:rsid w:val="00C03F32"/>
    <w:rsid w:val="00C07B52"/>
    <w:rsid w:val="00C12B3B"/>
    <w:rsid w:val="00C139F6"/>
    <w:rsid w:val="00C151B9"/>
    <w:rsid w:val="00C24537"/>
    <w:rsid w:val="00C27FEE"/>
    <w:rsid w:val="00C32418"/>
    <w:rsid w:val="00C338E8"/>
    <w:rsid w:val="00C368FD"/>
    <w:rsid w:val="00C37EB6"/>
    <w:rsid w:val="00C4229E"/>
    <w:rsid w:val="00C42543"/>
    <w:rsid w:val="00C446F7"/>
    <w:rsid w:val="00C45186"/>
    <w:rsid w:val="00C45FF7"/>
    <w:rsid w:val="00C51D24"/>
    <w:rsid w:val="00C554E9"/>
    <w:rsid w:val="00C61099"/>
    <w:rsid w:val="00C66198"/>
    <w:rsid w:val="00C71DBB"/>
    <w:rsid w:val="00C75B32"/>
    <w:rsid w:val="00C75D9B"/>
    <w:rsid w:val="00C81704"/>
    <w:rsid w:val="00C85570"/>
    <w:rsid w:val="00C87375"/>
    <w:rsid w:val="00CA2DE5"/>
    <w:rsid w:val="00CB3978"/>
    <w:rsid w:val="00CC40DE"/>
    <w:rsid w:val="00CC5367"/>
    <w:rsid w:val="00CC7A5B"/>
    <w:rsid w:val="00CC7DFC"/>
    <w:rsid w:val="00CD64DD"/>
    <w:rsid w:val="00CD6ABA"/>
    <w:rsid w:val="00CE1DD5"/>
    <w:rsid w:val="00CE1F01"/>
    <w:rsid w:val="00CE6C0C"/>
    <w:rsid w:val="00CF159E"/>
    <w:rsid w:val="00CF21C1"/>
    <w:rsid w:val="00CF4378"/>
    <w:rsid w:val="00CF44E2"/>
    <w:rsid w:val="00D04381"/>
    <w:rsid w:val="00D11825"/>
    <w:rsid w:val="00D268F7"/>
    <w:rsid w:val="00D31C29"/>
    <w:rsid w:val="00D331B6"/>
    <w:rsid w:val="00D34856"/>
    <w:rsid w:val="00D40FD3"/>
    <w:rsid w:val="00D4276F"/>
    <w:rsid w:val="00D42E41"/>
    <w:rsid w:val="00D42F42"/>
    <w:rsid w:val="00D51D75"/>
    <w:rsid w:val="00D53E7A"/>
    <w:rsid w:val="00D566B1"/>
    <w:rsid w:val="00D616E0"/>
    <w:rsid w:val="00D62112"/>
    <w:rsid w:val="00D63965"/>
    <w:rsid w:val="00D64A6E"/>
    <w:rsid w:val="00D6594C"/>
    <w:rsid w:val="00D669B3"/>
    <w:rsid w:val="00DA1D61"/>
    <w:rsid w:val="00DA2785"/>
    <w:rsid w:val="00DA51FA"/>
    <w:rsid w:val="00DA7A62"/>
    <w:rsid w:val="00DB1D87"/>
    <w:rsid w:val="00DB72F4"/>
    <w:rsid w:val="00DC04C4"/>
    <w:rsid w:val="00DC401C"/>
    <w:rsid w:val="00DD4050"/>
    <w:rsid w:val="00DD56BA"/>
    <w:rsid w:val="00DE18DD"/>
    <w:rsid w:val="00DE7A45"/>
    <w:rsid w:val="00DF2F1D"/>
    <w:rsid w:val="00E00D3C"/>
    <w:rsid w:val="00E0669B"/>
    <w:rsid w:val="00E12155"/>
    <w:rsid w:val="00E21D20"/>
    <w:rsid w:val="00E2213D"/>
    <w:rsid w:val="00E30528"/>
    <w:rsid w:val="00E34B21"/>
    <w:rsid w:val="00E414C2"/>
    <w:rsid w:val="00E467EE"/>
    <w:rsid w:val="00E570CB"/>
    <w:rsid w:val="00E62220"/>
    <w:rsid w:val="00E6397F"/>
    <w:rsid w:val="00E71BA4"/>
    <w:rsid w:val="00E7317A"/>
    <w:rsid w:val="00E75556"/>
    <w:rsid w:val="00E8156E"/>
    <w:rsid w:val="00E81806"/>
    <w:rsid w:val="00E85307"/>
    <w:rsid w:val="00E86C8A"/>
    <w:rsid w:val="00E9202B"/>
    <w:rsid w:val="00E9736D"/>
    <w:rsid w:val="00EA2FB8"/>
    <w:rsid w:val="00EB2D86"/>
    <w:rsid w:val="00EB3FFE"/>
    <w:rsid w:val="00EC372A"/>
    <w:rsid w:val="00ED3FBB"/>
    <w:rsid w:val="00ED41E3"/>
    <w:rsid w:val="00EE42F0"/>
    <w:rsid w:val="00EE6ABE"/>
    <w:rsid w:val="00EF1AB7"/>
    <w:rsid w:val="00EF1FC3"/>
    <w:rsid w:val="00EF4C0D"/>
    <w:rsid w:val="00EF6746"/>
    <w:rsid w:val="00EF79DF"/>
    <w:rsid w:val="00F03864"/>
    <w:rsid w:val="00F047E6"/>
    <w:rsid w:val="00F055BF"/>
    <w:rsid w:val="00F06DC9"/>
    <w:rsid w:val="00F1447D"/>
    <w:rsid w:val="00F14791"/>
    <w:rsid w:val="00F32559"/>
    <w:rsid w:val="00F35C08"/>
    <w:rsid w:val="00F35FDF"/>
    <w:rsid w:val="00F37182"/>
    <w:rsid w:val="00F3774C"/>
    <w:rsid w:val="00F42319"/>
    <w:rsid w:val="00F46D83"/>
    <w:rsid w:val="00F517ED"/>
    <w:rsid w:val="00F5279B"/>
    <w:rsid w:val="00F53041"/>
    <w:rsid w:val="00F540FA"/>
    <w:rsid w:val="00F54372"/>
    <w:rsid w:val="00F56965"/>
    <w:rsid w:val="00F57ADF"/>
    <w:rsid w:val="00F614CE"/>
    <w:rsid w:val="00F71344"/>
    <w:rsid w:val="00F72C3A"/>
    <w:rsid w:val="00F764B0"/>
    <w:rsid w:val="00F7702F"/>
    <w:rsid w:val="00F853C0"/>
    <w:rsid w:val="00F86E8B"/>
    <w:rsid w:val="00F918A1"/>
    <w:rsid w:val="00F97304"/>
    <w:rsid w:val="00FA28FB"/>
    <w:rsid w:val="00FA2BC9"/>
    <w:rsid w:val="00FA4712"/>
    <w:rsid w:val="00FA5905"/>
    <w:rsid w:val="00FB05A7"/>
    <w:rsid w:val="00FB0E40"/>
    <w:rsid w:val="00FB0F4E"/>
    <w:rsid w:val="00FB35A3"/>
    <w:rsid w:val="00FB6642"/>
    <w:rsid w:val="00FC040E"/>
    <w:rsid w:val="00FC426B"/>
    <w:rsid w:val="00FC43D2"/>
    <w:rsid w:val="00FC6031"/>
    <w:rsid w:val="00FC6E84"/>
    <w:rsid w:val="00FC7EC9"/>
    <w:rsid w:val="00FD1A66"/>
    <w:rsid w:val="00FD68DA"/>
    <w:rsid w:val="00FE1A64"/>
    <w:rsid w:val="00FE2F43"/>
    <w:rsid w:val="00FE6694"/>
    <w:rsid w:val="00FE7678"/>
    <w:rsid w:val="00FF55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B8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B80A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08468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80A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80A3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07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B8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B80A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08468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80A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80A3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07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4466">
      <w:bodyDiv w:val="1"/>
      <w:marLeft w:val="0"/>
      <w:marRight w:val="0"/>
      <w:marTop w:val="0"/>
      <w:marBottom w:val="0"/>
      <w:divBdr>
        <w:top w:val="none" w:sz="0" w:space="0" w:color="auto"/>
        <w:left w:val="none" w:sz="0" w:space="0" w:color="auto"/>
        <w:bottom w:val="none" w:sz="0" w:space="0" w:color="auto"/>
        <w:right w:val="none" w:sz="0" w:space="0" w:color="auto"/>
      </w:divBdr>
    </w:div>
    <w:div w:id="160319845">
      <w:bodyDiv w:val="1"/>
      <w:marLeft w:val="0"/>
      <w:marRight w:val="0"/>
      <w:marTop w:val="0"/>
      <w:marBottom w:val="0"/>
      <w:divBdr>
        <w:top w:val="none" w:sz="0" w:space="0" w:color="auto"/>
        <w:left w:val="none" w:sz="0" w:space="0" w:color="auto"/>
        <w:bottom w:val="none" w:sz="0" w:space="0" w:color="auto"/>
        <w:right w:val="none" w:sz="0" w:space="0" w:color="auto"/>
      </w:divBdr>
    </w:div>
    <w:div w:id="211036415">
      <w:bodyDiv w:val="1"/>
      <w:marLeft w:val="0"/>
      <w:marRight w:val="0"/>
      <w:marTop w:val="0"/>
      <w:marBottom w:val="0"/>
      <w:divBdr>
        <w:top w:val="none" w:sz="0" w:space="0" w:color="auto"/>
        <w:left w:val="none" w:sz="0" w:space="0" w:color="auto"/>
        <w:bottom w:val="none" w:sz="0" w:space="0" w:color="auto"/>
        <w:right w:val="none" w:sz="0" w:space="0" w:color="auto"/>
      </w:divBdr>
    </w:div>
    <w:div w:id="237713694">
      <w:bodyDiv w:val="1"/>
      <w:marLeft w:val="0"/>
      <w:marRight w:val="0"/>
      <w:marTop w:val="0"/>
      <w:marBottom w:val="0"/>
      <w:divBdr>
        <w:top w:val="none" w:sz="0" w:space="0" w:color="auto"/>
        <w:left w:val="none" w:sz="0" w:space="0" w:color="auto"/>
        <w:bottom w:val="none" w:sz="0" w:space="0" w:color="auto"/>
        <w:right w:val="none" w:sz="0" w:space="0" w:color="auto"/>
      </w:divBdr>
    </w:div>
    <w:div w:id="304432085">
      <w:bodyDiv w:val="1"/>
      <w:marLeft w:val="0"/>
      <w:marRight w:val="0"/>
      <w:marTop w:val="0"/>
      <w:marBottom w:val="0"/>
      <w:divBdr>
        <w:top w:val="none" w:sz="0" w:space="0" w:color="auto"/>
        <w:left w:val="none" w:sz="0" w:space="0" w:color="auto"/>
        <w:bottom w:val="none" w:sz="0" w:space="0" w:color="auto"/>
        <w:right w:val="none" w:sz="0" w:space="0" w:color="auto"/>
      </w:divBdr>
    </w:div>
    <w:div w:id="975333033">
      <w:bodyDiv w:val="1"/>
      <w:marLeft w:val="0"/>
      <w:marRight w:val="0"/>
      <w:marTop w:val="0"/>
      <w:marBottom w:val="0"/>
      <w:divBdr>
        <w:top w:val="none" w:sz="0" w:space="0" w:color="auto"/>
        <w:left w:val="none" w:sz="0" w:space="0" w:color="auto"/>
        <w:bottom w:val="none" w:sz="0" w:space="0" w:color="auto"/>
        <w:right w:val="none" w:sz="0" w:space="0" w:color="auto"/>
      </w:divBdr>
    </w:div>
    <w:div w:id="1664352841">
      <w:bodyDiv w:val="1"/>
      <w:marLeft w:val="0"/>
      <w:marRight w:val="0"/>
      <w:marTop w:val="0"/>
      <w:marBottom w:val="0"/>
      <w:divBdr>
        <w:top w:val="none" w:sz="0" w:space="0" w:color="auto"/>
        <w:left w:val="none" w:sz="0" w:space="0" w:color="auto"/>
        <w:bottom w:val="none" w:sz="0" w:space="0" w:color="auto"/>
        <w:right w:val="none" w:sz="0" w:space="0" w:color="auto"/>
      </w:divBdr>
    </w:div>
    <w:div w:id="1726102952">
      <w:bodyDiv w:val="1"/>
      <w:marLeft w:val="0"/>
      <w:marRight w:val="0"/>
      <w:marTop w:val="0"/>
      <w:marBottom w:val="0"/>
      <w:divBdr>
        <w:top w:val="none" w:sz="0" w:space="0" w:color="auto"/>
        <w:left w:val="none" w:sz="0" w:space="0" w:color="auto"/>
        <w:bottom w:val="none" w:sz="0" w:space="0" w:color="auto"/>
        <w:right w:val="none" w:sz="0" w:space="0" w:color="auto"/>
      </w:divBdr>
    </w:div>
    <w:div w:id="1773476722">
      <w:bodyDiv w:val="1"/>
      <w:marLeft w:val="0"/>
      <w:marRight w:val="0"/>
      <w:marTop w:val="0"/>
      <w:marBottom w:val="0"/>
      <w:divBdr>
        <w:top w:val="none" w:sz="0" w:space="0" w:color="auto"/>
        <w:left w:val="none" w:sz="0" w:space="0" w:color="auto"/>
        <w:bottom w:val="none" w:sz="0" w:space="0" w:color="auto"/>
        <w:right w:val="none" w:sz="0" w:space="0" w:color="auto"/>
      </w:divBdr>
    </w:div>
    <w:div w:id="1994795408">
      <w:bodyDiv w:val="1"/>
      <w:marLeft w:val="0"/>
      <w:marRight w:val="0"/>
      <w:marTop w:val="0"/>
      <w:marBottom w:val="0"/>
      <w:divBdr>
        <w:top w:val="none" w:sz="0" w:space="0" w:color="auto"/>
        <w:left w:val="none" w:sz="0" w:space="0" w:color="auto"/>
        <w:bottom w:val="none" w:sz="0" w:space="0" w:color="auto"/>
        <w:right w:val="none" w:sz="0" w:space="0" w:color="auto"/>
      </w:divBdr>
    </w:div>
    <w:div w:id="2027752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7EBDF-896B-44EE-BF9F-29B2E1AAF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BED03286</Template>
  <TotalTime>0</TotalTime>
  <Pages>10</Pages>
  <Words>3196</Words>
  <Characters>18222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21376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 Adam (Energy Markets and Networks)</dc:creator>
  <cp:lastModifiedBy>Crow Helena (Fuel Poverty &amp; Smart Meters)</cp:lastModifiedBy>
  <cp:revision>3</cp:revision>
  <cp:lastPrinted>2013-10-07T15:49:00Z</cp:lastPrinted>
  <dcterms:created xsi:type="dcterms:W3CDTF">2013-10-22T15:53:00Z</dcterms:created>
  <dcterms:modified xsi:type="dcterms:W3CDTF">2013-11-11T17:24:00Z</dcterms:modified>
</cp:coreProperties>
</file>